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EDD17" w14:textId="1219AEEE" w:rsidR="00D67AEC" w:rsidRPr="00433F48" w:rsidRDefault="00F841CB" w:rsidP="00311822">
      <w:pPr>
        <w:pStyle w:val="Default"/>
        <w:rPr>
          <w:rFonts w:ascii="Arial" w:hAnsi="Arial" w:cs="Arial"/>
          <w:sz w:val="22"/>
          <w:szCs w:val="22"/>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0B5164">
        <w:rPr>
          <w:rFonts w:ascii="Arial" w:hAnsi="Arial" w:cs="Arial"/>
        </w:rPr>
        <w:t xml:space="preserve"> </w:t>
      </w:r>
      <w:r w:rsidR="0084237E" w:rsidRPr="0084237E">
        <w:rPr>
          <w:rFonts w:ascii="Arial" w:hAnsi="Arial" w:cs="Arial"/>
          <w:sz w:val="22"/>
          <w:szCs w:val="22"/>
        </w:rPr>
        <w:t>This SOP</w:t>
      </w:r>
      <w:r w:rsidR="0084237E">
        <w:rPr>
          <w:rFonts w:ascii="Arial" w:hAnsi="Arial" w:cs="Arial"/>
          <w:sz w:val="22"/>
          <w:szCs w:val="22"/>
        </w:rPr>
        <w:t xml:space="preserve"> describes the steps for fulfilling the regulatory and clinical requirements involved in study s</w:t>
      </w:r>
      <w:r w:rsidR="00405250">
        <w:rPr>
          <w:rFonts w:ascii="Arial" w:hAnsi="Arial" w:cs="Arial"/>
          <w:sz w:val="22"/>
          <w:szCs w:val="22"/>
        </w:rPr>
        <w:t>ubject recruitment</w:t>
      </w:r>
      <w:r w:rsidR="0084237E">
        <w:rPr>
          <w:rFonts w:ascii="Arial" w:hAnsi="Arial" w:cs="Arial"/>
          <w:sz w:val="22"/>
          <w:szCs w:val="22"/>
        </w:rPr>
        <w:t xml:space="preserve"> for clinical </w:t>
      </w:r>
      <w:r w:rsidR="001C77EC">
        <w:rPr>
          <w:rFonts w:ascii="Arial" w:hAnsi="Arial" w:cs="Arial"/>
          <w:sz w:val="22"/>
          <w:szCs w:val="22"/>
        </w:rPr>
        <w:t>research</w:t>
      </w:r>
      <w:r w:rsidR="0084237E">
        <w:rPr>
          <w:rFonts w:ascii="Arial" w:hAnsi="Arial" w:cs="Arial"/>
          <w:sz w:val="22"/>
          <w:szCs w:val="22"/>
        </w:rPr>
        <w:t xml:space="preserve"> </w:t>
      </w:r>
      <w:r w:rsidR="00405250">
        <w:rPr>
          <w:rFonts w:ascii="Arial" w:hAnsi="Arial" w:cs="Arial"/>
          <w:sz w:val="22"/>
          <w:szCs w:val="22"/>
        </w:rPr>
        <w:t xml:space="preserve">conducted </w:t>
      </w:r>
      <w:r w:rsidR="0084237E">
        <w:rPr>
          <w:rFonts w:ascii="Arial" w:hAnsi="Arial" w:cs="Arial"/>
          <w:sz w:val="22"/>
          <w:szCs w:val="22"/>
        </w:rPr>
        <w:t>at the CRC.</w:t>
      </w:r>
      <w:r w:rsidR="00D67AEC">
        <w:rPr>
          <w:rFonts w:ascii="Arial" w:hAnsi="Arial" w:cs="Arial"/>
          <w:sz w:val="22"/>
          <w:szCs w:val="22"/>
        </w:rPr>
        <w:t xml:space="preserve"> </w:t>
      </w:r>
    </w:p>
    <w:p w14:paraId="0746C5FF" w14:textId="77777777" w:rsidR="00D769EC" w:rsidRDefault="00F841CB" w:rsidP="00D67AEC">
      <w:pPr>
        <w:tabs>
          <w:tab w:val="left" w:pos="2250"/>
        </w:tabs>
        <w:autoSpaceDE w:val="0"/>
        <w:autoSpaceDN w:val="0"/>
        <w:adjustRightInd w:val="0"/>
        <w:spacing w:after="0" w:line="240" w:lineRule="auto"/>
        <w:rPr>
          <w:rFonts w:ascii="Arial" w:hAnsi="Arial" w:cs="Arial"/>
        </w:rPr>
      </w:pPr>
      <w:r w:rsidRPr="00F841CB">
        <w:rPr>
          <w:rFonts w:ascii="Arial" w:hAnsi="Arial" w:cs="Arial"/>
        </w:rPr>
        <w:tab/>
      </w:r>
    </w:p>
    <w:p w14:paraId="720D545A" w14:textId="4F1C7C11" w:rsidR="00D67AEC" w:rsidRDefault="00F841CB" w:rsidP="00311822">
      <w:pPr>
        <w:autoSpaceDE w:val="0"/>
        <w:autoSpaceDN w:val="0"/>
        <w:adjustRightInd w:val="0"/>
        <w:spacing w:after="0" w:line="240" w:lineRule="auto"/>
        <w:rPr>
          <w:rFonts w:ascii="Arial" w:hAnsi="Arial" w:cs="Arial"/>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 xml:space="preserve">This </w:t>
      </w:r>
      <w:r w:rsidR="000B5164">
        <w:rPr>
          <w:rFonts w:ascii="Arial" w:hAnsi="Arial" w:cs="Arial"/>
        </w:rPr>
        <w:t xml:space="preserve">SOP </w:t>
      </w:r>
      <w:r w:rsidR="0084237E">
        <w:rPr>
          <w:rFonts w:ascii="Arial" w:hAnsi="Arial" w:cs="Arial"/>
        </w:rPr>
        <w:t xml:space="preserve">applies to the </w:t>
      </w:r>
      <w:r w:rsidR="008315F9">
        <w:rPr>
          <w:rFonts w:ascii="Arial" w:hAnsi="Arial" w:cs="Arial"/>
        </w:rPr>
        <w:t>Investiga</w:t>
      </w:r>
      <w:r w:rsidR="002D6B09">
        <w:rPr>
          <w:rFonts w:ascii="Arial" w:hAnsi="Arial" w:cs="Arial"/>
        </w:rPr>
        <w:t>tors and key personnel</w:t>
      </w:r>
      <w:r w:rsidR="008315F9">
        <w:rPr>
          <w:rFonts w:ascii="Arial" w:hAnsi="Arial" w:cs="Arial"/>
        </w:rPr>
        <w:t xml:space="preserve"> who conduct human </w:t>
      </w:r>
      <w:proofErr w:type="gramStart"/>
      <w:r w:rsidR="008315F9">
        <w:rPr>
          <w:rFonts w:ascii="Arial" w:hAnsi="Arial" w:cs="Arial"/>
        </w:rPr>
        <w:t>subjects</w:t>
      </w:r>
      <w:proofErr w:type="gramEnd"/>
      <w:r w:rsidR="008315F9">
        <w:rPr>
          <w:rFonts w:ascii="Arial" w:hAnsi="Arial" w:cs="Arial"/>
        </w:rPr>
        <w:t xml:space="preserve"> research activities</w:t>
      </w:r>
      <w:r w:rsidR="0084237E">
        <w:rPr>
          <w:rFonts w:ascii="Arial" w:hAnsi="Arial" w:cs="Arial"/>
        </w:rPr>
        <w:t xml:space="preserve"> </w:t>
      </w:r>
      <w:r w:rsidR="002D6B09">
        <w:rPr>
          <w:rFonts w:ascii="Arial" w:hAnsi="Arial" w:cs="Arial"/>
        </w:rPr>
        <w:t xml:space="preserve">at the CRC, the research teams who wish to place IRB approved printed advertisements for recruitment purposes in the USF Health clinic waiting areas, and </w:t>
      </w:r>
      <w:r w:rsidR="008315F9">
        <w:rPr>
          <w:rFonts w:ascii="Arial" w:hAnsi="Arial" w:cs="Arial"/>
        </w:rPr>
        <w:t>the OCR who will maintain the brochu</w:t>
      </w:r>
      <w:r w:rsidR="002010F4">
        <w:rPr>
          <w:rFonts w:ascii="Arial" w:hAnsi="Arial" w:cs="Arial"/>
        </w:rPr>
        <w:t>re carousels in the</w:t>
      </w:r>
      <w:r w:rsidR="002D6B09">
        <w:rPr>
          <w:rFonts w:ascii="Arial" w:hAnsi="Arial" w:cs="Arial"/>
        </w:rPr>
        <w:t xml:space="preserve"> following</w:t>
      </w:r>
      <w:r w:rsidR="0055714C">
        <w:rPr>
          <w:rFonts w:ascii="Arial" w:hAnsi="Arial" w:cs="Arial"/>
        </w:rPr>
        <w:t xml:space="preserve"> waiting</w:t>
      </w:r>
      <w:r w:rsidR="002010F4">
        <w:rPr>
          <w:rFonts w:ascii="Arial" w:hAnsi="Arial" w:cs="Arial"/>
        </w:rPr>
        <w:t xml:space="preserve"> a</w:t>
      </w:r>
      <w:r w:rsidR="008315F9">
        <w:rPr>
          <w:rFonts w:ascii="Arial" w:hAnsi="Arial" w:cs="Arial"/>
        </w:rPr>
        <w:t>rea</w:t>
      </w:r>
      <w:r w:rsidR="002010F4">
        <w:rPr>
          <w:rFonts w:ascii="Arial" w:hAnsi="Arial" w:cs="Arial"/>
        </w:rPr>
        <w:t>s</w:t>
      </w:r>
      <w:r w:rsidR="002D6B09">
        <w:rPr>
          <w:rFonts w:ascii="Arial" w:hAnsi="Arial" w:cs="Arial"/>
        </w:rPr>
        <w:t>.</w:t>
      </w:r>
    </w:p>
    <w:p w14:paraId="0469F4C3" w14:textId="79186F3C" w:rsidR="00D67AEC" w:rsidRDefault="00405250" w:rsidP="00D67AEC">
      <w:pPr>
        <w:autoSpaceDE w:val="0"/>
        <w:autoSpaceDN w:val="0"/>
        <w:adjustRightInd w:val="0"/>
        <w:spacing w:after="0" w:line="240" w:lineRule="auto"/>
        <w:ind w:left="-180"/>
        <w:rPr>
          <w:rFonts w:ascii="Arial" w:hAnsi="Arial" w:cs="Arial"/>
        </w:rPr>
      </w:pPr>
      <w:r>
        <w:rPr>
          <w:rFonts w:ascii="Arial" w:hAnsi="Arial" w:cs="Arial"/>
        </w:rPr>
        <w:t xml:space="preserve">   </w:t>
      </w:r>
    </w:p>
    <w:p w14:paraId="6FDF9E40" w14:textId="13BB88A3" w:rsidR="00D67AEC" w:rsidRDefault="00D67AEC" w:rsidP="006F2480">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Morsani Center for Advanced Healthcare</w:t>
      </w:r>
      <w:r w:rsidR="00405250">
        <w:rPr>
          <w:rFonts w:ascii="Arial" w:hAnsi="Arial" w:cs="Arial"/>
        </w:rPr>
        <w:t xml:space="preserve">   </w:t>
      </w:r>
    </w:p>
    <w:p w14:paraId="70C6ED0A" w14:textId="77777777" w:rsidR="00D67AEC" w:rsidRDefault="00D67AEC" w:rsidP="006F2480">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South Tampa Center for Advanced Healthcare</w:t>
      </w:r>
    </w:p>
    <w:p w14:paraId="1A809923" w14:textId="77777777" w:rsidR="00D67AEC" w:rsidRDefault="00D67AEC" w:rsidP="006F2480">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Byrd Alzheimer’s Institute</w:t>
      </w:r>
    </w:p>
    <w:p w14:paraId="527F9AF9" w14:textId="77777777" w:rsidR="00D67AEC" w:rsidRPr="0005364D" w:rsidRDefault="00D67AEC" w:rsidP="006F2480">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Children’s Medical Services</w:t>
      </w:r>
    </w:p>
    <w:p w14:paraId="0746C601"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0746C602" w14:textId="18835BE3" w:rsidR="00E229D2" w:rsidRPr="00545545" w:rsidRDefault="00F841CB" w:rsidP="000C0731">
      <w:pPr>
        <w:autoSpaceDE w:val="0"/>
        <w:autoSpaceDN w:val="0"/>
        <w:adjustRightInd w:val="0"/>
        <w:spacing w:after="0" w:line="240" w:lineRule="auto"/>
        <w:rPr>
          <w:rFonts w:ascii="Arial" w:hAnsi="Arial" w:cs="Arial"/>
        </w:rPr>
      </w:pPr>
      <w:r w:rsidRPr="00F841CB">
        <w:rPr>
          <w:rFonts w:ascii="Arial" w:hAnsi="Arial" w:cs="Arial"/>
          <w:b/>
          <w:bCs/>
          <w:spacing w:val="2"/>
        </w:rPr>
        <w:t>RESPONSIBILIT</w:t>
      </w:r>
      <w:r w:rsidRPr="005B44EE">
        <w:rPr>
          <w:rFonts w:ascii="Arial" w:hAnsi="Arial" w:cs="Arial"/>
          <w:b/>
          <w:bCs/>
          <w:spacing w:val="2"/>
        </w:rPr>
        <w:t>Y:</w:t>
      </w:r>
      <w:r w:rsidR="00511FEB">
        <w:rPr>
          <w:rFonts w:ascii="Arial" w:hAnsi="Arial" w:cs="Arial"/>
          <w:b/>
          <w:bCs/>
          <w:spacing w:val="2"/>
        </w:rPr>
        <w:t xml:space="preserve"> </w:t>
      </w:r>
      <w:r w:rsidR="00D67AEC">
        <w:rPr>
          <w:rFonts w:ascii="Arial" w:hAnsi="Arial" w:cs="Arial"/>
        </w:rPr>
        <w:t>The PI and his/her key personnel are responsible for proper recruitment of study subjects into research studies approved by the University of South Florida (USF) Institutional Review Board (IRB) or a USF relied upon IRB.  The Office of Clinical Research (OCR) will be responsible for the purchase, set up, and maintenance of the brochure carousels within the clinic locations as listed in this SOP</w:t>
      </w:r>
      <w:r w:rsidR="00E017F4">
        <w:rPr>
          <w:rFonts w:ascii="Arial" w:hAnsi="Arial" w:cs="Arial"/>
        </w:rPr>
        <w:t>.</w:t>
      </w:r>
    </w:p>
    <w:p w14:paraId="0746C603"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0746C604" w14:textId="77777777" w:rsidR="001D5499" w:rsidRDefault="00F841CB" w:rsidP="000C0731">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0746C605" w14:textId="77777777" w:rsidR="00A97286" w:rsidRDefault="00A97286" w:rsidP="00F515CD">
      <w:pPr>
        <w:tabs>
          <w:tab w:val="left" w:pos="2250"/>
        </w:tabs>
        <w:autoSpaceDE w:val="0"/>
        <w:autoSpaceDN w:val="0"/>
        <w:adjustRightInd w:val="0"/>
        <w:spacing w:after="0" w:line="240" w:lineRule="auto"/>
        <w:ind w:left="-180"/>
        <w:rPr>
          <w:rFonts w:ascii="Arial" w:hAnsi="Arial" w:cs="Arial"/>
        </w:rPr>
      </w:pPr>
    </w:p>
    <w:p w14:paraId="0746C606" w14:textId="77777777" w:rsidR="00243470" w:rsidRDefault="00A97286" w:rsidP="000C0731">
      <w:pPr>
        <w:pStyle w:val="Default"/>
        <w:rPr>
          <w:sz w:val="23"/>
          <w:szCs w:val="23"/>
        </w:rPr>
      </w:pPr>
      <w:r w:rsidRPr="00D07E05">
        <w:rPr>
          <w:rFonts w:ascii="Arial" w:hAnsi="Arial" w:cs="Arial"/>
          <w:b/>
          <w:sz w:val="22"/>
          <w:szCs w:val="22"/>
        </w:rPr>
        <w:t>Advertisement:</w:t>
      </w:r>
      <w:r>
        <w:rPr>
          <w:rFonts w:ascii="Arial" w:hAnsi="Arial" w:cs="Arial"/>
          <w:b/>
        </w:rPr>
        <w:t xml:space="preserve"> </w:t>
      </w:r>
      <w:r w:rsidR="00754CAB" w:rsidRPr="00754CAB">
        <w:rPr>
          <w:rFonts w:ascii="Arial" w:hAnsi="Arial" w:cs="Arial"/>
          <w:sz w:val="22"/>
          <w:szCs w:val="22"/>
        </w:rPr>
        <w:t>Printed material that is intended to be seen or audio material that is intended to be heard by prospective research subjects to solicit and induce their participation in a study. This may include direct advertising such as newspaper, radio, television, bulletin boards, posters, flyers, letters, postcards, email, internet advertisements, and other electronic media. This may also include direct communication one-on-one, in small groups, or in large assembly</w:t>
      </w:r>
      <w:r w:rsidR="00754CAB" w:rsidRPr="00754CAB">
        <w:rPr>
          <w:sz w:val="23"/>
          <w:szCs w:val="23"/>
        </w:rPr>
        <w:t xml:space="preserve">. </w:t>
      </w:r>
    </w:p>
    <w:p w14:paraId="0F5F148C" w14:textId="77777777" w:rsidR="00E92F6B" w:rsidRDefault="00E92F6B" w:rsidP="000C0731">
      <w:pPr>
        <w:pStyle w:val="Default"/>
        <w:rPr>
          <w:sz w:val="23"/>
          <w:szCs w:val="23"/>
        </w:rPr>
      </w:pPr>
    </w:p>
    <w:p w14:paraId="4DA408AA" w14:textId="19271317" w:rsidR="00E92F6B" w:rsidRPr="00735290" w:rsidRDefault="00E92F6B" w:rsidP="000C0731">
      <w:pPr>
        <w:pStyle w:val="Default"/>
        <w:rPr>
          <w:rFonts w:ascii="Arial" w:hAnsi="Arial" w:cs="Arial"/>
          <w:sz w:val="22"/>
          <w:szCs w:val="22"/>
        </w:rPr>
      </w:pPr>
      <w:r w:rsidRPr="00735290">
        <w:rPr>
          <w:rFonts w:ascii="Arial" w:hAnsi="Arial" w:cs="Arial"/>
          <w:b/>
          <w:sz w:val="22"/>
          <w:szCs w:val="22"/>
          <w:lang w:val="en"/>
        </w:rPr>
        <w:t>Electronic Medical Record (EMR)</w:t>
      </w:r>
      <w:r w:rsidR="00735290" w:rsidRPr="00735290">
        <w:rPr>
          <w:rFonts w:ascii="Arial" w:hAnsi="Arial" w:cs="Arial"/>
          <w:b/>
          <w:sz w:val="22"/>
          <w:szCs w:val="22"/>
          <w:lang w:val="en"/>
        </w:rPr>
        <w:t>:</w:t>
      </w:r>
      <w:r w:rsidRPr="00735290">
        <w:rPr>
          <w:rFonts w:ascii="Arial" w:hAnsi="Arial" w:cs="Arial"/>
          <w:sz w:val="22"/>
          <w:szCs w:val="22"/>
          <w:lang w:val="en"/>
        </w:rPr>
        <w:t xml:space="preserve"> A computerized medical record created in an organization that delivers care, such as a hospital or physician's office</w:t>
      </w:r>
      <w:r w:rsidR="00735290" w:rsidRPr="00735290">
        <w:rPr>
          <w:rFonts w:ascii="Arial" w:hAnsi="Arial" w:cs="Arial"/>
          <w:sz w:val="22"/>
          <w:szCs w:val="22"/>
          <w:lang w:val="en"/>
        </w:rPr>
        <w:t>.  Also may be referred to as Electronic Health Record (EHR).</w:t>
      </w:r>
    </w:p>
    <w:p w14:paraId="0746C607" w14:textId="77777777" w:rsidR="00D07E05" w:rsidRDefault="00D07E05" w:rsidP="00243470">
      <w:pPr>
        <w:pStyle w:val="Default"/>
        <w:ind w:left="-180"/>
        <w:rPr>
          <w:sz w:val="23"/>
          <w:szCs w:val="23"/>
        </w:rPr>
      </w:pPr>
    </w:p>
    <w:p w14:paraId="0746C608" w14:textId="77777777" w:rsidR="00D07E05" w:rsidRPr="00D07E05" w:rsidRDefault="00D07E05" w:rsidP="000C0731">
      <w:pPr>
        <w:pStyle w:val="Default"/>
        <w:rPr>
          <w:rFonts w:ascii="Arial" w:hAnsi="Arial" w:cs="Arial"/>
          <w:sz w:val="22"/>
          <w:szCs w:val="22"/>
        </w:rPr>
      </w:pPr>
      <w:r w:rsidRPr="00D07E05">
        <w:rPr>
          <w:rFonts w:ascii="Arial" w:hAnsi="Arial" w:cs="Arial"/>
          <w:b/>
          <w:sz w:val="22"/>
          <w:szCs w:val="22"/>
        </w:rPr>
        <w:t>Exclusion Criteria:</w:t>
      </w:r>
      <w:r>
        <w:rPr>
          <w:rFonts w:ascii="Arial" w:hAnsi="Arial" w:cs="Arial"/>
          <w:b/>
          <w:sz w:val="22"/>
          <w:szCs w:val="22"/>
        </w:rPr>
        <w:t xml:space="preserve"> </w:t>
      </w:r>
      <w:r>
        <w:rPr>
          <w:rFonts w:ascii="Arial" w:hAnsi="Arial" w:cs="Arial"/>
          <w:sz w:val="22"/>
          <w:szCs w:val="22"/>
        </w:rPr>
        <w:t>A list of criteria, any one of which excludes a potential subject from participation in a research study.</w:t>
      </w:r>
    </w:p>
    <w:p w14:paraId="0746C609" w14:textId="77777777" w:rsidR="00D07E05" w:rsidRDefault="00D07E05" w:rsidP="00243470">
      <w:pPr>
        <w:pStyle w:val="Default"/>
        <w:ind w:left="-180"/>
        <w:rPr>
          <w:sz w:val="23"/>
          <w:szCs w:val="23"/>
        </w:rPr>
      </w:pPr>
    </w:p>
    <w:p w14:paraId="0746C60A" w14:textId="77777777" w:rsidR="00D07E05" w:rsidRPr="00D07E05" w:rsidRDefault="00D07E05" w:rsidP="000C0731">
      <w:pPr>
        <w:pStyle w:val="Default"/>
        <w:rPr>
          <w:rFonts w:ascii="Arial" w:eastAsia="Times New Roman" w:hAnsi="Arial" w:cs="Arial"/>
          <w:sz w:val="22"/>
          <w:szCs w:val="22"/>
        </w:rPr>
      </w:pPr>
      <w:r w:rsidRPr="00D07E05">
        <w:rPr>
          <w:rFonts w:ascii="Arial" w:eastAsia="Times New Roman" w:hAnsi="Arial" w:cs="Arial"/>
          <w:b/>
          <w:bCs/>
          <w:sz w:val="22"/>
          <w:szCs w:val="22"/>
        </w:rPr>
        <w:t>Inclusion Criteria</w:t>
      </w:r>
      <w:r w:rsidRPr="00D07E05">
        <w:rPr>
          <w:rFonts w:ascii="Arial" w:eastAsia="Times New Roman" w:hAnsi="Arial" w:cs="Arial"/>
          <w:sz w:val="22"/>
          <w:szCs w:val="22"/>
        </w:rPr>
        <w:t>: The criteria that potential participants must meet to be eligible for participation in a research study.</w:t>
      </w:r>
    </w:p>
    <w:p w14:paraId="0746C60B" w14:textId="77777777" w:rsidR="00D07E05" w:rsidRPr="00243470" w:rsidRDefault="00D07E05" w:rsidP="00D07E05">
      <w:pPr>
        <w:pStyle w:val="Default"/>
        <w:ind w:left="-180"/>
        <w:rPr>
          <w:sz w:val="22"/>
          <w:szCs w:val="22"/>
        </w:rPr>
      </w:pPr>
    </w:p>
    <w:p w14:paraId="0746C60C" w14:textId="12D0717E" w:rsidR="00D07E05" w:rsidRPr="00D07E05" w:rsidRDefault="00D07E05" w:rsidP="000C0731">
      <w:pPr>
        <w:autoSpaceDE w:val="0"/>
        <w:autoSpaceDN w:val="0"/>
        <w:adjustRightInd w:val="0"/>
        <w:spacing w:after="0" w:line="240" w:lineRule="auto"/>
        <w:rPr>
          <w:rFonts w:ascii="Arial" w:hAnsi="Arial" w:cs="Arial"/>
        </w:rPr>
      </w:pPr>
      <w:r w:rsidRPr="00243470">
        <w:rPr>
          <w:rFonts w:ascii="Arial" w:hAnsi="Arial" w:cs="Arial"/>
          <w:b/>
          <w:bCs/>
          <w:color w:val="000000"/>
        </w:rPr>
        <w:t xml:space="preserve">Informed Consent: </w:t>
      </w:r>
      <w:r w:rsidRPr="00243470">
        <w:rPr>
          <w:rFonts w:ascii="Arial" w:hAnsi="Arial" w:cs="Arial"/>
          <w:bCs/>
          <w:color w:val="000000"/>
          <w:lang w:val="en-GB"/>
        </w:rPr>
        <w:t>A process by which a subject voluntarily confirms his or her willingness to participate in a particular clinical trial after having been informed of all aspects of the trial that are relevant to the subject's decision to participate.</w:t>
      </w:r>
      <w:r w:rsidRPr="00243470">
        <w:rPr>
          <w:rFonts w:ascii="Arial" w:hAnsi="Arial" w:cs="Arial"/>
        </w:rPr>
        <w:t xml:space="preserve"> The Informed Consent Form (ICF) may also be referred to as Informed Consent Document (IC</w:t>
      </w:r>
      <w:r w:rsidR="002D6B09">
        <w:rPr>
          <w:rFonts w:ascii="Arial" w:hAnsi="Arial" w:cs="Arial"/>
        </w:rPr>
        <w:t>D).</w:t>
      </w:r>
    </w:p>
    <w:p w14:paraId="0746C60D" w14:textId="77777777" w:rsidR="00243470" w:rsidRDefault="00243470" w:rsidP="00243470">
      <w:pPr>
        <w:pStyle w:val="Default"/>
        <w:ind w:left="-180"/>
        <w:rPr>
          <w:rFonts w:ascii="Arial" w:eastAsia="Times New Roman" w:hAnsi="Arial" w:cs="Arial"/>
          <w:b/>
          <w:bCs/>
          <w:sz w:val="22"/>
          <w:szCs w:val="22"/>
        </w:rPr>
      </w:pPr>
    </w:p>
    <w:p w14:paraId="4FF92E35" w14:textId="77777777" w:rsidR="00735290" w:rsidRDefault="00735290" w:rsidP="00243470">
      <w:pPr>
        <w:pStyle w:val="Default"/>
        <w:ind w:left="-180"/>
        <w:rPr>
          <w:rFonts w:ascii="Arial" w:eastAsia="Times New Roman" w:hAnsi="Arial" w:cs="Arial"/>
          <w:b/>
          <w:bCs/>
          <w:sz w:val="22"/>
          <w:szCs w:val="22"/>
        </w:rPr>
      </w:pPr>
    </w:p>
    <w:p w14:paraId="5E8610F4" w14:textId="77777777" w:rsidR="001C122A" w:rsidRDefault="001C122A" w:rsidP="00735290">
      <w:pPr>
        <w:tabs>
          <w:tab w:val="left" w:pos="2250"/>
        </w:tabs>
        <w:autoSpaceDE w:val="0"/>
        <w:autoSpaceDN w:val="0"/>
        <w:adjustRightInd w:val="0"/>
        <w:spacing w:after="0" w:line="240" w:lineRule="auto"/>
        <w:rPr>
          <w:rFonts w:ascii="Arial" w:hAnsi="Arial" w:cs="Arial"/>
          <w:b/>
          <w:bCs/>
          <w:spacing w:val="2"/>
          <w:w w:val="103"/>
        </w:rPr>
      </w:pPr>
    </w:p>
    <w:p w14:paraId="58453A07" w14:textId="77777777" w:rsidR="001C122A" w:rsidRDefault="001C122A" w:rsidP="00735290">
      <w:pPr>
        <w:tabs>
          <w:tab w:val="left" w:pos="2250"/>
        </w:tabs>
        <w:autoSpaceDE w:val="0"/>
        <w:autoSpaceDN w:val="0"/>
        <w:adjustRightInd w:val="0"/>
        <w:spacing w:after="0" w:line="240" w:lineRule="auto"/>
        <w:rPr>
          <w:rFonts w:ascii="Arial" w:hAnsi="Arial" w:cs="Arial"/>
          <w:b/>
          <w:bCs/>
          <w:spacing w:val="2"/>
          <w:w w:val="103"/>
        </w:rPr>
      </w:pPr>
    </w:p>
    <w:p w14:paraId="1B3E88B0" w14:textId="77777777" w:rsidR="00735290" w:rsidRDefault="00735290" w:rsidP="00735290">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lastRenderedPageBreak/>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Pr>
          <w:rFonts w:ascii="Arial" w:hAnsi="Arial" w:cs="Arial"/>
          <w:b/>
          <w:bCs/>
          <w:spacing w:val="2"/>
          <w:w w:val="103"/>
        </w:rPr>
        <w:t xml:space="preserve"> (cont.)</w:t>
      </w:r>
      <w:r w:rsidRPr="00F841CB">
        <w:rPr>
          <w:rFonts w:ascii="Arial" w:hAnsi="Arial" w:cs="Arial"/>
          <w:b/>
          <w:bCs/>
          <w:w w:val="103"/>
        </w:rPr>
        <w:t>:</w:t>
      </w:r>
      <w:r w:rsidRPr="00F841CB">
        <w:rPr>
          <w:rFonts w:ascii="Arial" w:hAnsi="Arial" w:cs="Arial"/>
        </w:rPr>
        <w:t xml:space="preserve"> </w:t>
      </w:r>
    </w:p>
    <w:p w14:paraId="256E8058" w14:textId="77777777" w:rsidR="00735290" w:rsidRPr="00243470" w:rsidRDefault="00735290" w:rsidP="00243470">
      <w:pPr>
        <w:pStyle w:val="Default"/>
        <w:ind w:left="-180"/>
        <w:rPr>
          <w:rFonts w:ascii="Arial" w:eastAsia="Times New Roman" w:hAnsi="Arial" w:cs="Arial"/>
          <w:b/>
          <w:bCs/>
          <w:sz w:val="22"/>
          <w:szCs w:val="22"/>
        </w:rPr>
      </w:pPr>
    </w:p>
    <w:p w14:paraId="56710473" w14:textId="53D6443F" w:rsidR="0055714C" w:rsidRPr="00735290" w:rsidRDefault="00EE1D92" w:rsidP="00735290">
      <w:pPr>
        <w:pStyle w:val="Default"/>
        <w:rPr>
          <w:rFonts w:ascii="Verdana" w:eastAsia="Times New Roman" w:hAnsi="Verdana"/>
          <w:sz w:val="22"/>
          <w:szCs w:val="22"/>
        </w:rPr>
      </w:pPr>
      <w:r w:rsidRPr="00243470">
        <w:rPr>
          <w:rFonts w:ascii="Arial" w:eastAsia="Times New Roman" w:hAnsi="Arial" w:cs="Arial"/>
          <w:b/>
          <w:bCs/>
          <w:sz w:val="22"/>
          <w:szCs w:val="22"/>
        </w:rPr>
        <w:t>Key Personnel:</w:t>
      </w:r>
      <w:r w:rsidRPr="00243470">
        <w:rPr>
          <w:rFonts w:ascii="Arial" w:eastAsia="Times New Roman" w:hAnsi="Arial" w:cs="Arial"/>
          <w:sz w:val="22"/>
          <w:szCs w:val="22"/>
        </w:rPr>
        <w:t xml:space="preserve"> Individuals who are directly involved in conducting research with human participants, or are directly involved with handling identifiable private information related to those participants in the course of a research project, regardless of the source of research funding. Students who are directly involved in either aspect of research involving human subjects are considered key personnel</w:t>
      </w:r>
      <w:r w:rsidRPr="00243470">
        <w:rPr>
          <w:rFonts w:ascii="Verdana" w:eastAsia="Times New Roman" w:hAnsi="Verdana"/>
          <w:sz w:val="22"/>
          <w:szCs w:val="22"/>
        </w:rPr>
        <w:t>.</w:t>
      </w:r>
    </w:p>
    <w:p w14:paraId="0746C611" w14:textId="77777777" w:rsidR="00F25773" w:rsidRDefault="00F25773" w:rsidP="0055714C">
      <w:pPr>
        <w:autoSpaceDE w:val="0"/>
        <w:autoSpaceDN w:val="0"/>
        <w:adjustRightInd w:val="0"/>
        <w:spacing w:after="0" w:line="240" w:lineRule="auto"/>
        <w:rPr>
          <w:rFonts w:ascii="Arial" w:hAnsi="Arial" w:cs="Arial"/>
          <w:bCs/>
          <w:color w:val="000000"/>
          <w:lang w:val="en-GB"/>
        </w:rPr>
      </w:pPr>
    </w:p>
    <w:p w14:paraId="0746C612" w14:textId="5E07AB2A" w:rsidR="00F25773" w:rsidRPr="00F25773" w:rsidRDefault="00F25773" w:rsidP="000C0731">
      <w:pPr>
        <w:autoSpaceDE w:val="0"/>
        <w:autoSpaceDN w:val="0"/>
        <w:adjustRightInd w:val="0"/>
        <w:spacing w:after="0" w:line="240" w:lineRule="auto"/>
        <w:rPr>
          <w:rFonts w:ascii="Arial" w:hAnsi="Arial" w:cs="Arial"/>
          <w:bCs/>
          <w:color w:val="000000"/>
          <w:lang w:val="en-GB"/>
        </w:rPr>
      </w:pPr>
      <w:r w:rsidRPr="00F25773">
        <w:rPr>
          <w:rFonts w:ascii="Arial" w:hAnsi="Arial" w:cs="Arial"/>
          <w:b/>
          <w:bCs/>
          <w:color w:val="000000"/>
          <w:lang w:val="en-GB"/>
        </w:rPr>
        <w:t>Recruitment:</w:t>
      </w:r>
      <w:r>
        <w:rPr>
          <w:rFonts w:ascii="Arial" w:hAnsi="Arial" w:cs="Arial"/>
          <w:b/>
          <w:bCs/>
          <w:color w:val="000000"/>
          <w:lang w:val="en-GB"/>
        </w:rPr>
        <w:t xml:space="preserve"> </w:t>
      </w:r>
      <w:r>
        <w:rPr>
          <w:rFonts w:ascii="Arial" w:hAnsi="Arial" w:cs="Arial"/>
          <w:bCs/>
          <w:color w:val="000000"/>
          <w:lang w:val="en-GB"/>
        </w:rPr>
        <w:t xml:space="preserve">The process that employs inclusion and exclusion criteria and is used by investigators to </w:t>
      </w:r>
      <w:proofErr w:type="spellStart"/>
      <w:r>
        <w:rPr>
          <w:rFonts w:ascii="Arial" w:hAnsi="Arial" w:cs="Arial"/>
          <w:bCs/>
          <w:color w:val="000000"/>
          <w:lang w:val="en-GB"/>
        </w:rPr>
        <w:t>enrol</w:t>
      </w:r>
      <w:r w:rsidR="00F0368F">
        <w:rPr>
          <w:rFonts w:ascii="Arial" w:hAnsi="Arial" w:cs="Arial"/>
          <w:bCs/>
          <w:color w:val="000000"/>
          <w:lang w:val="en-GB"/>
        </w:rPr>
        <w:t>l</w:t>
      </w:r>
      <w:proofErr w:type="spellEnd"/>
      <w:r>
        <w:rPr>
          <w:rFonts w:ascii="Arial" w:hAnsi="Arial" w:cs="Arial"/>
          <w:bCs/>
          <w:color w:val="000000"/>
          <w:lang w:val="en-GB"/>
        </w:rPr>
        <w:t xml:space="preserve"> appropriate participants into a research study.</w:t>
      </w:r>
    </w:p>
    <w:p w14:paraId="0746C616" w14:textId="77777777" w:rsidR="00415CB1" w:rsidRPr="00F25773" w:rsidRDefault="00415CB1" w:rsidP="00F25773">
      <w:pPr>
        <w:autoSpaceDE w:val="0"/>
        <w:autoSpaceDN w:val="0"/>
        <w:adjustRightInd w:val="0"/>
        <w:spacing w:after="0" w:line="240" w:lineRule="auto"/>
        <w:rPr>
          <w:rFonts w:ascii="Arial" w:hAnsi="Arial" w:cs="Arial"/>
          <w:b/>
          <w:bCs/>
          <w:color w:val="000000"/>
        </w:rPr>
      </w:pPr>
    </w:p>
    <w:p w14:paraId="0746C617" w14:textId="4BE7E9ED" w:rsidR="007F2CA1" w:rsidRDefault="00666763" w:rsidP="00754CAB">
      <w:pPr>
        <w:autoSpaceDE w:val="0"/>
        <w:autoSpaceDN w:val="0"/>
        <w:adjustRightInd w:val="0"/>
        <w:spacing w:after="0" w:line="240" w:lineRule="auto"/>
        <w:ind w:left="-180"/>
        <w:rPr>
          <w:rFonts w:ascii="Arial" w:hAnsi="Arial" w:cs="Arial"/>
          <w:b/>
          <w:color w:val="000000"/>
        </w:rPr>
      </w:pPr>
      <w:r>
        <w:rPr>
          <w:rFonts w:ascii="Arial" w:hAnsi="Arial" w:cs="Arial"/>
          <w:b/>
          <w:color w:val="000000"/>
        </w:rPr>
        <w:t xml:space="preserve">   </w:t>
      </w:r>
      <w:r w:rsidR="00754CAB" w:rsidRPr="00754CAB">
        <w:rPr>
          <w:rFonts w:ascii="Arial" w:hAnsi="Arial" w:cs="Arial"/>
          <w:b/>
          <w:color w:val="000000"/>
        </w:rPr>
        <w:t>PROCEDURE:</w:t>
      </w:r>
      <w:r w:rsidR="00754CAB">
        <w:rPr>
          <w:rFonts w:ascii="Arial" w:hAnsi="Arial" w:cs="Arial"/>
          <w:b/>
          <w:color w:val="000000"/>
        </w:rPr>
        <w:t xml:space="preserve">  </w:t>
      </w:r>
    </w:p>
    <w:p w14:paraId="08CC4273" w14:textId="77777777" w:rsidR="00CA0763" w:rsidRDefault="002140A2" w:rsidP="00CA0763">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w:t>
      </w:r>
      <w:r w:rsidR="00E229D2">
        <w:rPr>
          <w:rFonts w:ascii="Arial" w:hAnsi="Arial" w:cs="Arial"/>
          <w:color w:val="000000"/>
        </w:rPr>
        <w:t>he PI and key personnel</w:t>
      </w:r>
      <w:r w:rsidR="004930C5">
        <w:rPr>
          <w:rFonts w:ascii="Arial" w:hAnsi="Arial" w:cs="Arial"/>
          <w:color w:val="000000"/>
        </w:rPr>
        <w:t xml:space="preserve"> will develop a recruitment plan</w:t>
      </w:r>
      <w:r w:rsidR="00CA0763">
        <w:rPr>
          <w:rFonts w:ascii="Arial" w:hAnsi="Arial" w:cs="Arial"/>
          <w:color w:val="000000"/>
        </w:rPr>
        <w:t xml:space="preserve"> that is approved by the Sponsor, if applicable.</w:t>
      </w:r>
    </w:p>
    <w:p w14:paraId="76657737" w14:textId="77777777" w:rsidR="008315F9" w:rsidRDefault="008315F9" w:rsidP="008315F9">
      <w:pPr>
        <w:pStyle w:val="ListParagraph"/>
        <w:autoSpaceDE w:val="0"/>
        <w:autoSpaceDN w:val="0"/>
        <w:adjustRightInd w:val="0"/>
        <w:spacing w:after="0" w:line="240" w:lineRule="auto"/>
        <w:ind w:left="360"/>
        <w:rPr>
          <w:rFonts w:ascii="Arial" w:hAnsi="Arial" w:cs="Arial"/>
          <w:color w:val="000000"/>
        </w:rPr>
      </w:pPr>
    </w:p>
    <w:p w14:paraId="0746C619" w14:textId="38CD1700" w:rsidR="008D5832" w:rsidRPr="00CA0763" w:rsidRDefault="00CA0763" w:rsidP="00CA0763">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The study/ regulatory coordinator will provide d</w:t>
      </w:r>
      <w:r w:rsidR="0003698D" w:rsidRPr="00CA0763">
        <w:rPr>
          <w:rFonts w:ascii="Arial" w:hAnsi="Arial" w:cs="Arial"/>
          <w:color w:val="000000"/>
        </w:rPr>
        <w:t>etailed informati</w:t>
      </w:r>
      <w:r w:rsidR="0076345E" w:rsidRPr="00CA0763">
        <w:rPr>
          <w:rFonts w:ascii="Arial" w:hAnsi="Arial" w:cs="Arial"/>
          <w:color w:val="000000"/>
        </w:rPr>
        <w:t>on regarding study subject recr</w:t>
      </w:r>
      <w:r w:rsidRPr="00CA0763">
        <w:rPr>
          <w:rFonts w:ascii="Arial" w:hAnsi="Arial" w:cs="Arial"/>
          <w:color w:val="000000"/>
        </w:rPr>
        <w:t>uitment methods and forms must be included in the initial</w:t>
      </w:r>
      <w:r w:rsidR="0076345E" w:rsidRPr="00CA0763">
        <w:rPr>
          <w:rFonts w:ascii="Arial" w:hAnsi="Arial" w:cs="Arial"/>
          <w:color w:val="000000"/>
        </w:rPr>
        <w:t xml:space="preserve"> IRB</w:t>
      </w:r>
      <w:r w:rsidRPr="00CA0763">
        <w:rPr>
          <w:rFonts w:ascii="Arial" w:hAnsi="Arial" w:cs="Arial"/>
          <w:color w:val="000000"/>
        </w:rPr>
        <w:t xml:space="preserve"> application to</w:t>
      </w:r>
      <w:r w:rsidR="008D5832" w:rsidRPr="00CA0763">
        <w:rPr>
          <w:rFonts w:ascii="Arial" w:hAnsi="Arial" w:cs="Arial"/>
          <w:color w:val="000000"/>
        </w:rPr>
        <w:t xml:space="preserve"> determine if</w:t>
      </w:r>
      <w:r w:rsidR="0003698D" w:rsidRPr="00CA0763">
        <w:rPr>
          <w:rFonts w:ascii="Arial" w:hAnsi="Arial" w:cs="Arial"/>
          <w:color w:val="000000"/>
        </w:rPr>
        <w:t xml:space="preserve"> recruitment is fair and equitable</w:t>
      </w:r>
      <w:r w:rsidR="002D6B09">
        <w:rPr>
          <w:rFonts w:ascii="Arial" w:hAnsi="Arial" w:cs="Arial"/>
          <w:color w:val="000000"/>
        </w:rPr>
        <w:t>. Some recruitment methods include</w:t>
      </w:r>
      <w:r w:rsidR="008D5832" w:rsidRPr="00CA0763">
        <w:rPr>
          <w:rFonts w:ascii="Arial" w:hAnsi="Arial" w:cs="Arial"/>
          <w:color w:val="000000"/>
        </w:rPr>
        <w:t>:</w:t>
      </w:r>
      <w:r w:rsidRPr="00CA0763">
        <w:rPr>
          <w:rFonts w:ascii="Arial" w:hAnsi="Arial" w:cs="Arial"/>
          <w:color w:val="000000"/>
        </w:rPr>
        <w:t xml:space="preserve">      </w:t>
      </w:r>
    </w:p>
    <w:p w14:paraId="0746C61A" w14:textId="2B419E35" w:rsidR="008D5832" w:rsidRDefault="00E9086C"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Pr>
          <w:rFonts w:ascii="Arial" w:hAnsi="Arial" w:cs="Arial"/>
          <w:color w:val="000000"/>
        </w:rPr>
        <w:t xml:space="preserve">Clinic patients’ </w:t>
      </w:r>
      <w:r w:rsidR="00E92F6B">
        <w:rPr>
          <w:rFonts w:ascii="Arial" w:hAnsi="Arial" w:cs="Arial"/>
          <w:color w:val="000000"/>
        </w:rPr>
        <w:t xml:space="preserve">electronic medical </w:t>
      </w:r>
      <w:r>
        <w:rPr>
          <w:rFonts w:ascii="Arial" w:hAnsi="Arial" w:cs="Arial"/>
          <w:color w:val="000000"/>
        </w:rPr>
        <w:t xml:space="preserve">records </w:t>
      </w:r>
      <w:r w:rsidR="00E92F6B">
        <w:rPr>
          <w:rFonts w:ascii="Arial" w:hAnsi="Arial" w:cs="Arial"/>
          <w:color w:val="000000"/>
        </w:rPr>
        <w:t>(EMRs)</w:t>
      </w:r>
    </w:p>
    <w:p w14:paraId="0746C61B" w14:textId="77777777" w:rsidR="008D5832" w:rsidRDefault="008D5832"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sidRPr="008D5832">
        <w:rPr>
          <w:rFonts w:ascii="Arial" w:hAnsi="Arial" w:cs="Arial"/>
          <w:color w:val="000000"/>
        </w:rPr>
        <w:t xml:space="preserve">Study subject </w:t>
      </w:r>
      <w:r w:rsidR="00330B74">
        <w:rPr>
          <w:rFonts w:ascii="Arial" w:hAnsi="Arial" w:cs="Arial"/>
          <w:color w:val="000000"/>
        </w:rPr>
        <w:t xml:space="preserve">/ provider </w:t>
      </w:r>
      <w:r w:rsidRPr="008D5832">
        <w:rPr>
          <w:rFonts w:ascii="Arial" w:hAnsi="Arial" w:cs="Arial"/>
          <w:color w:val="000000"/>
        </w:rPr>
        <w:t>referrals</w:t>
      </w:r>
    </w:p>
    <w:p w14:paraId="0746C61C" w14:textId="65AFF4C3" w:rsidR="008D5832" w:rsidRDefault="00E9086C"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Pr>
          <w:rFonts w:ascii="Arial" w:hAnsi="Arial" w:cs="Arial"/>
          <w:color w:val="000000"/>
        </w:rPr>
        <w:t xml:space="preserve">Telephone </w:t>
      </w:r>
    </w:p>
    <w:p w14:paraId="0746C61D" w14:textId="77777777" w:rsidR="008D5832" w:rsidRDefault="008D5832"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sidRPr="008D5832">
        <w:rPr>
          <w:rFonts w:ascii="Arial" w:hAnsi="Arial" w:cs="Arial"/>
          <w:color w:val="000000"/>
        </w:rPr>
        <w:t>Recruitment letter</w:t>
      </w:r>
    </w:p>
    <w:p w14:paraId="0746C61E" w14:textId="77777777" w:rsidR="00831F54" w:rsidRDefault="00831F54"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Pr>
          <w:rFonts w:ascii="Arial" w:hAnsi="Arial" w:cs="Arial"/>
          <w:color w:val="000000"/>
        </w:rPr>
        <w:t>Recruitment packet if applicable</w:t>
      </w:r>
    </w:p>
    <w:p w14:paraId="0746C61F" w14:textId="2B6C19A2" w:rsidR="008D5832" w:rsidRDefault="008D5832"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sidRPr="008D5832">
        <w:rPr>
          <w:rFonts w:ascii="Arial" w:hAnsi="Arial" w:cs="Arial"/>
          <w:color w:val="000000"/>
        </w:rPr>
        <w:t>Advertisements</w:t>
      </w:r>
      <w:r w:rsidR="006D6C42">
        <w:rPr>
          <w:rFonts w:ascii="Arial" w:hAnsi="Arial" w:cs="Arial"/>
          <w:color w:val="000000"/>
        </w:rPr>
        <w:t>-</w:t>
      </w:r>
      <w:r>
        <w:rPr>
          <w:rFonts w:ascii="Arial" w:hAnsi="Arial" w:cs="Arial"/>
          <w:color w:val="000000"/>
        </w:rPr>
        <w:t>Recrui</w:t>
      </w:r>
      <w:r w:rsidR="006D6C42">
        <w:rPr>
          <w:rFonts w:ascii="Arial" w:hAnsi="Arial" w:cs="Arial"/>
          <w:color w:val="000000"/>
        </w:rPr>
        <w:t>tment Guidelines in USF IRB manual</w:t>
      </w:r>
      <w:r>
        <w:rPr>
          <w:rFonts w:ascii="Arial" w:hAnsi="Arial" w:cs="Arial"/>
          <w:color w:val="000000"/>
        </w:rPr>
        <w:t xml:space="preserve"> for more information</w:t>
      </w:r>
    </w:p>
    <w:p w14:paraId="0746C620" w14:textId="77777777" w:rsidR="008D5832" w:rsidRDefault="008D5832"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sidRPr="008D5832">
        <w:rPr>
          <w:rFonts w:ascii="Arial" w:hAnsi="Arial" w:cs="Arial"/>
          <w:color w:val="000000"/>
        </w:rPr>
        <w:t>Posters</w:t>
      </w:r>
    </w:p>
    <w:p w14:paraId="0746C621" w14:textId="1D166FF2" w:rsidR="008D5832" w:rsidRPr="006D6C42" w:rsidRDefault="006D6C42"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Pr>
          <w:rFonts w:ascii="Arial" w:hAnsi="Arial" w:cs="Arial"/>
          <w:color w:val="000000"/>
        </w:rPr>
        <w:t xml:space="preserve">Use of </w:t>
      </w:r>
      <w:r w:rsidR="008D5832" w:rsidRPr="006D6C42">
        <w:rPr>
          <w:rFonts w:ascii="Arial" w:hAnsi="Arial" w:cs="Arial"/>
          <w:color w:val="000000"/>
        </w:rPr>
        <w:t>appointment books</w:t>
      </w:r>
    </w:p>
    <w:p w14:paraId="0746C622" w14:textId="77777777" w:rsidR="008D5832" w:rsidRDefault="008D5832"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sidRPr="009A2988">
        <w:rPr>
          <w:rFonts w:ascii="Arial" w:hAnsi="Arial" w:cs="Arial"/>
          <w:color w:val="000000"/>
        </w:rPr>
        <w:t>Newspaper, TV and radio advertisements</w:t>
      </w:r>
    </w:p>
    <w:p w14:paraId="2A4DCFB5" w14:textId="062617B1" w:rsidR="00E9086C" w:rsidRPr="009A2988" w:rsidRDefault="00E9086C" w:rsidP="006F2480">
      <w:pPr>
        <w:pStyle w:val="ListParagraph"/>
        <w:numPr>
          <w:ilvl w:val="0"/>
          <w:numId w:val="2"/>
        </w:numPr>
        <w:autoSpaceDE w:val="0"/>
        <w:autoSpaceDN w:val="0"/>
        <w:adjustRightInd w:val="0"/>
        <w:spacing w:after="0" w:line="240" w:lineRule="auto"/>
        <w:ind w:left="1440"/>
        <w:rPr>
          <w:rFonts w:ascii="Arial" w:hAnsi="Arial" w:cs="Arial"/>
          <w:color w:val="000000"/>
        </w:rPr>
      </w:pPr>
      <w:r>
        <w:rPr>
          <w:rFonts w:ascii="Arial" w:hAnsi="Arial" w:cs="Arial"/>
          <w:color w:val="000000"/>
        </w:rPr>
        <w:t>Internet postings</w:t>
      </w:r>
    </w:p>
    <w:p w14:paraId="22F065E5" w14:textId="4D42A17A" w:rsidR="00CA0763" w:rsidRPr="00CA0763" w:rsidRDefault="009A2988" w:rsidP="00CA0763">
      <w:pPr>
        <w:pStyle w:val="ListParagraph"/>
        <w:numPr>
          <w:ilvl w:val="0"/>
          <w:numId w:val="2"/>
        </w:numPr>
        <w:autoSpaceDE w:val="0"/>
        <w:autoSpaceDN w:val="0"/>
        <w:adjustRightInd w:val="0"/>
        <w:spacing w:after="0" w:line="240" w:lineRule="auto"/>
        <w:ind w:left="1440"/>
        <w:rPr>
          <w:rFonts w:ascii="Arial" w:hAnsi="Arial" w:cs="Arial"/>
          <w:color w:val="000000"/>
        </w:rPr>
      </w:pPr>
      <w:r w:rsidRPr="009A2988">
        <w:rPr>
          <w:rFonts w:ascii="Arial" w:hAnsi="Arial" w:cs="Arial"/>
          <w:color w:val="000000"/>
        </w:rPr>
        <w:t>Disease support groups</w:t>
      </w:r>
    </w:p>
    <w:p w14:paraId="0746C625" w14:textId="720E5355" w:rsidR="008D5832" w:rsidRDefault="006F758E" w:rsidP="00405250">
      <w:pPr>
        <w:pStyle w:val="ListParagraph"/>
        <w:numPr>
          <w:ilvl w:val="1"/>
          <w:numId w:val="1"/>
        </w:numPr>
        <w:autoSpaceDE w:val="0"/>
        <w:autoSpaceDN w:val="0"/>
        <w:adjustRightInd w:val="0"/>
        <w:spacing w:after="0" w:line="240" w:lineRule="auto"/>
        <w:rPr>
          <w:rFonts w:ascii="Arial" w:hAnsi="Arial" w:cs="Arial"/>
          <w:color w:val="000000"/>
        </w:rPr>
      </w:pPr>
      <w:r w:rsidRPr="008D5832">
        <w:rPr>
          <w:rFonts w:ascii="Arial" w:hAnsi="Arial" w:cs="Arial"/>
          <w:color w:val="000000"/>
        </w:rPr>
        <w:t>Include any necessary approval(s) from sites where the advertisements may be placed.</w:t>
      </w:r>
    </w:p>
    <w:p w14:paraId="2D9B8001" w14:textId="77777777" w:rsidR="008315F9" w:rsidRPr="00405250" w:rsidRDefault="008315F9" w:rsidP="008315F9">
      <w:pPr>
        <w:pStyle w:val="ListParagraph"/>
        <w:autoSpaceDE w:val="0"/>
        <w:autoSpaceDN w:val="0"/>
        <w:adjustRightInd w:val="0"/>
        <w:spacing w:after="0" w:line="240" w:lineRule="auto"/>
        <w:ind w:left="1080"/>
        <w:rPr>
          <w:rFonts w:ascii="Arial" w:hAnsi="Arial" w:cs="Arial"/>
          <w:color w:val="000000"/>
        </w:rPr>
      </w:pPr>
    </w:p>
    <w:p w14:paraId="54E80413" w14:textId="078C97BA" w:rsidR="00D67AEC" w:rsidRPr="008315F9" w:rsidRDefault="008315F9" w:rsidP="008315F9">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The study team will e</w:t>
      </w:r>
      <w:r w:rsidR="008A6F7F" w:rsidRPr="008315F9">
        <w:rPr>
          <w:rFonts w:ascii="Arial" w:hAnsi="Arial" w:cs="Arial"/>
          <w:color w:val="000000"/>
        </w:rPr>
        <w:t>nsure that clinical trials are registered on clinicaltrials.gov as required by federal regulation.</w:t>
      </w:r>
    </w:p>
    <w:p w14:paraId="4DB5DCE4" w14:textId="77777777" w:rsidR="00D67AEC" w:rsidRDefault="00D67AEC" w:rsidP="00D67AEC">
      <w:pPr>
        <w:pStyle w:val="ListParagraph"/>
        <w:autoSpaceDE w:val="0"/>
        <w:autoSpaceDN w:val="0"/>
        <w:adjustRightInd w:val="0"/>
        <w:spacing w:after="0" w:line="240" w:lineRule="auto"/>
        <w:ind w:left="900"/>
        <w:rPr>
          <w:rFonts w:ascii="Arial" w:hAnsi="Arial" w:cs="Arial"/>
          <w:color w:val="000000"/>
        </w:rPr>
      </w:pPr>
    </w:p>
    <w:p w14:paraId="0746C63B" w14:textId="29B09589" w:rsidR="00F61708" w:rsidRDefault="008315F9" w:rsidP="006F2480">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The Investigator and study team will a</w:t>
      </w:r>
      <w:r w:rsidR="00F61708">
        <w:rPr>
          <w:rFonts w:ascii="Arial" w:hAnsi="Arial" w:cs="Arial"/>
          <w:color w:val="000000"/>
        </w:rPr>
        <w:t>ssess the effectiveness of the recruitment plan</w:t>
      </w:r>
      <w:r>
        <w:rPr>
          <w:rFonts w:ascii="Arial" w:hAnsi="Arial" w:cs="Arial"/>
          <w:color w:val="000000"/>
        </w:rPr>
        <w:t>.</w:t>
      </w:r>
    </w:p>
    <w:p w14:paraId="0746C63C" w14:textId="77777777" w:rsidR="00F61708" w:rsidRDefault="00F61708" w:rsidP="006F2480">
      <w:pPr>
        <w:pStyle w:val="ListParagraph"/>
        <w:numPr>
          <w:ilvl w:val="1"/>
          <w:numId w:val="1"/>
        </w:numPr>
        <w:autoSpaceDE w:val="0"/>
        <w:autoSpaceDN w:val="0"/>
        <w:adjustRightInd w:val="0"/>
        <w:spacing w:after="0" w:line="240" w:lineRule="auto"/>
        <w:rPr>
          <w:rFonts w:ascii="Arial" w:hAnsi="Arial" w:cs="Arial"/>
          <w:color w:val="000000"/>
        </w:rPr>
      </w:pPr>
      <w:r>
        <w:rPr>
          <w:rFonts w:ascii="Arial" w:hAnsi="Arial" w:cs="Arial"/>
          <w:color w:val="000000"/>
        </w:rPr>
        <w:t>Monitor progress and assess results of the recruitment plan.</w:t>
      </w:r>
    </w:p>
    <w:p w14:paraId="0746C63D" w14:textId="77777777" w:rsidR="00F61708" w:rsidRDefault="00F61708" w:rsidP="006F2480">
      <w:pPr>
        <w:pStyle w:val="ListParagraph"/>
        <w:numPr>
          <w:ilvl w:val="1"/>
          <w:numId w:val="1"/>
        </w:numPr>
        <w:autoSpaceDE w:val="0"/>
        <w:autoSpaceDN w:val="0"/>
        <w:adjustRightInd w:val="0"/>
        <w:spacing w:after="0" w:line="240" w:lineRule="auto"/>
        <w:rPr>
          <w:rFonts w:ascii="Arial" w:hAnsi="Arial" w:cs="Arial"/>
          <w:color w:val="000000"/>
        </w:rPr>
      </w:pPr>
      <w:r>
        <w:rPr>
          <w:rFonts w:ascii="Arial" w:hAnsi="Arial" w:cs="Arial"/>
          <w:color w:val="000000"/>
        </w:rPr>
        <w:t>Keep the PI and sponsor apprised of actual enrollment in relation to recruitment goal.</w:t>
      </w:r>
    </w:p>
    <w:p w14:paraId="31C78AB8" w14:textId="09525F60" w:rsidR="002010F4" w:rsidRPr="002D6B09" w:rsidRDefault="00F61708" w:rsidP="002010F4">
      <w:pPr>
        <w:pStyle w:val="ListParagraph"/>
        <w:numPr>
          <w:ilvl w:val="1"/>
          <w:numId w:val="1"/>
        </w:numPr>
        <w:autoSpaceDE w:val="0"/>
        <w:autoSpaceDN w:val="0"/>
        <w:adjustRightInd w:val="0"/>
        <w:spacing w:after="0" w:line="240" w:lineRule="auto"/>
        <w:rPr>
          <w:rFonts w:ascii="Arial" w:hAnsi="Arial" w:cs="Arial"/>
          <w:color w:val="000000"/>
        </w:rPr>
      </w:pPr>
      <w:r>
        <w:rPr>
          <w:rFonts w:ascii="Arial" w:hAnsi="Arial" w:cs="Arial"/>
          <w:color w:val="000000"/>
        </w:rPr>
        <w:t>Create alternative strategies if actual enrollmen</w:t>
      </w:r>
      <w:r w:rsidR="007C3EB2">
        <w:rPr>
          <w:rFonts w:ascii="Arial" w:hAnsi="Arial" w:cs="Arial"/>
          <w:color w:val="000000"/>
        </w:rPr>
        <w:t>t is less than enrollment goal.</w:t>
      </w:r>
    </w:p>
    <w:p w14:paraId="1A0EE12A" w14:textId="77777777" w:rsidR="00D67AEC" w:rsidRDefault="00D67AEC" w:rsidP="00D67AEC">
      <w:pPr>
        <w:autoSpaceDE w:val="0"/>
        <w:autoSpaceDN w:val="0"/>
        <w:adjustRightInd w:val="0"/>
        <w:spacing w:after="0" w:line="240" w:lineRule="auto"/>
        <w:rPr>
          <w:rFonts w:ascii="Arial" w:hAnsi="Arial" w:cs="Arial"/>
          <w:b/>
          <w:bCs/>
          <w:spacing w:val="2"/>
          <w:w w:val="103"/>
        </w:rPr>
      </w:pPr>
    </w:p>
    <w:p w14:paraId="5E050B16" w14:textId="77777777" w:rsidR="00735290" w:rsidRDefault="00735290" w:rsidP="00D67AEC">
      <w:pPr>
        <w:autoSpaceDE w:val="0"/>
        <w:autoSpaceDN w:val="0"/>
        <w:adjustRightInd w:val="0"/>
        <w:spacing w:after="0" w:line="240" w:lineRule="auto"/>
        <w:rPr>
          <w:rFonts w:ascii="Arial" w:hAnsi="Arial" w:cs="Arial"/>
          <w:b/>
          <w:bCs/>
          <w:spacing w:val="2"/>
          <w:w w:val="103"/>
        </w:rPr>
      </w:pPr>
    </w:p>
    <w:p w14:paraId="19F81EE0" w14:textId="77777777" w:rsidR="00735290" w:rsidRDefault="00735290" w:rsidP="00D67AEC">
      <w:pPr>
        <w:autoSpaceDE w:val="0"/>
        <w:autoSpaceDN w:val="0"/>
        <w:adjustRightInd w:val="0"/>
        <w:spacing w:after="0" w:line="240" w:lineRule="auto"/>
        <w:rPr>
          <w:rFonts w:ascii="Arial" w:hAnsi="Arial" w:cs="Arial"/>
          <w:b/>
          <w:bCs/>
          <w:spacing w:val="2"/>
          <w:w w:val="103"/>
        </w:rPr>
      </w:pPr>
    </w:p>
    <w:p w14:paraId="1FCD03AA" w14:textId="77777777" w:rsidR="00F0368F" w:rsidRDefault="00F0368F" w:rsidP="00D67AEC">
      <w:pPr>
        <w:autoSpaceDE w:val="0"/>
        <w:autoSpaceDN w:val="0"/>
        <w:adjustRightInd w:val="0"/>
        <w:spacing w:after="0" w:line="240" w:lineRule="auto"/>
        <w:rPr>
          <w:rFonts w:ascii="Arial" w:hAnsi="Arial" w:cs="Arial"/>
          <w:b/>
          <w:bCs/>
          <w:spacing w:val="2"/>
          <w:w w:val="103"/>
        </w:rPr>
      </w:pPr>
    </w:p>
    <w:p w14:paraId="7E58A804" w14:textId="77777777" w:rsidR="001C77EC" w:rsidRDefault="001C77EC" w:rsidP="00D67AEC">
      <w:pPr>
        <w:autoSpaceDE w:val="0"/>
        <w:autoSpaceDN w:val="0"/>
        <w:adjustRightInd w:val="0"/>
        <w:spacing w:after="0" w:line="240" w:lineRule="auto"/>
        <w:rPr>
          <w:rFonts w:ascii="Arial" w:hAnsi="Arial" w:cs="Arial"/>
          <w:b/>
          <w:bCs/>
          <w:spacing w:val="2"/>
          <w:w w:val="103"/>
        </w:rPr>
      </w:pPr>
    </w:p>
    <w:p w14:paraId="22E04554" w14:textId="77777777" w:rsidR="001C122A" w:rsidRDefault="001C122A" w:rsidP="00735290">
      <w:pPr>
        <w:autoSpaceDE w:val="0"/>
        <w:autoSpaceDN w:val="0"/>
        <w:adjustRightInd w:val="0"/>
        <w:spacing w:after="0" w:line="240" w:lineRule="auto"/>
        <w:rPr>
          <w:rFonts w:ascii="Arial" w:hAnsi="Arial" w:cs="Arial"/>
          <w:b/>
          <w:color w:val="000000"/>
        </w:rPr>
      </w:pPr>
    </w:p>
    <w:p w14:paraId="4ED00170" w14:textId="787E5DC5" w:rsidR="00735290" w:rsidRDefault="00735290" w:rsidP="00735290">
      <w:pPr>
        <w:autoSpaceDE w:val="0"/>
        <w:autoSpaceDN w:val="0"/>
        <w:adjustRightInd w:val="0"/>
        <w:spacing w:after="0" w:line="240" w:lineRule="auto"/>
        <w:rPr>
          <w:rFonts w:ascii="Arial" w:hAnsi="Arial" w:cs="Arial"/>
          <w:b/>
          <w:color w:val="000000"/>
        </w:rPr>
      </w:pPr>
      <w:r w:rsidRPr="0055714C">
        <w:rPr>
          <w:rFonts w:ascii="Arial" w:hAnsi="Arial" w:cs="Arial"/>
          <w:b/>
          <w:color w:val="000000"/>
        </w:rPr>
        <w:lastRenderedPageBreak/>
        <w:t>PROCEDURE</w:t>
      </w:r>
      <w:r>
        <w:rPr>
          <w:rFonts w:ascii="Arial" w:hAnsi="Arial" w:cs="Arial"/>
          <w:b/>
          <w:color w:val="000000"/>
        </w:rPr>
        <w:t xml:space="preserve"> (cont.)</w:t>
      </w:r>
      <w:r w:rsidR="001C122A">
        <w:rPr>
          <w:rFonts w:ascii="Arial" w:hAnsi="Arial" w:cs="Arial"/>
          <w:b/>
          <w:color w:val="000000"/>
        </w:rPr>
        <w:t>:</w:t>
      </w:r>
    </w:p>
    <w:p w14:paraId="6528094C" w14:textId="77777777" w:rsidR="000F2864" w:rsidRPr="0055714C" w:rsidRDefault="000F2864" w:rsidP="00735290">
      <w:pPr>
        <w:autoSpaceDE w:val="0"/>
        <w:autoSpaceDN w:val="0"/>
        <w:adjustRightInd w:val="0"/>
        <w:spacing w:after="0" w:line="240" w:lineRule="auto"/>
        <w:rPr>
          <w:rFonts w:ascii="Arial" w:hAnsi="Arial" w:cs="Arial"/>
          <w:color w:val="000000"/>
        </w:rPr>
      </w:pPr>
    </w:p>
    <w:p w14:paraId="5EC536B1" w14:textId="77777777" w:rsidR="00735290" w:rsidRDefault="00735290" w:rsidP="00D67AEC">
      <w:pPr>
        <w:autoSpaceDE w:val="0"/>
        <w:autoSpaceDN w:val="0"/>
        <w:adjustRightInd w:val="0"/>
        <w:spacing w:after="0" w:line="240" w:lineRule="auto"/>
        <w:rPr>
          <w:rFonts w:ascii="Arial" w:hAnsi="Arial" w:cs="Arial"/>
          <w:b/>
          <w:bCs/>
          <w:spacing w:val="2"/>
          <w:w w:val="103"/>
        </w:rPr>
      </w:pPr>
    </w:p>
    <w:p w14:paraId="29D1E4A3" w14:textId="77777777" w:rsidR="001C122A" w:rsidRDefault="00764878" w:rsidP="006F2480">
      <w:pPr>
        <w:pStyle w:val="ListParagraph"/>
        <w:numPr>
          <w:ilvl w:val="0"/>
          <w:numId w:val="1"/>
        </w:numPr>
        <w:autoSpaceDE w:val="0"/>
        <w:autoSpaceDN w:val="0"/>
        <w:adjustRightInd w:val="0"/>
        <w:spacing w:after="0" w:line="240" w:lineRule="auto"/>
        <w:rPr>
          <w:rFonts w:ascii="Arial" w:hAnsi="Arial" w:cs="Arial"/>
        </w:rPr>
      </w:pPr>
      <w:r w:rsidRPr="00764878">
        <w:rPr>
          <w:rFonts w:ascii="Arial" w:hAnsi="Arial" w:cs="Arial"/>
          <w:bCs/>
          <w:spacing w:val="2"/>
          <w:w w:val="103"/>
        </w:rPr>
        <w:t>Recruitment and Advertising Materials for Human Subjects in USF Health Clinic Waiting Areas</w:t>
      </w:r>
      <w:r>
        <w:rPr>
          <w:rFonts w:ascii="Arial" w:hAnsi="Arial" w:cs="Arial"/>
        </w:rPr>
        <w:t>:</w:t>
      </w:r>
    </w:p>
    <w:p w14:paraId="7D4587E5" w14:textId="743D003A" w:rsidR="00D67AEC" w:rsidRPr="00764878" w:rsidRDefault="00203EFC" w:rsidP="001C122A">
      <w:pPr>
        <w:pStyle w:val="ListParagraph"/>
        <w:autoSpaceDE w:val="0"/>
        <w:autoSpaceDN w:val="0"/>
        <w:adjustRightInd w:val="0"/>
        <w:spacing w:after="0" w:line="240" w:lineRule="auto"/>
        <w:ind w:left="360"/>
        <w:rPr>
          <w:rFonts w:ascii="Arial" w:hAnsi="Arial" w:cs="Arial"/>
        </w:rPr>
      </w:pPr>
      <w:r w:rsidRPr="00764878">
        <w:rPr>
          <w:rFonts w:ascii="Arial" w:hAnsi="Arial" w:cs="Arial"/>
        </w:rPr>
        <w:tab/>
      </w:r>
    </w:p>
    <w:p w14:paraId="79370E19" w14:textId="6E456EE8" w:rsidR="00D67AEC" w:rsidRPr="00735290" w:rsidRDefault="00203EFC" w:rsidP="00735290">
      <w:pPr>
        <w:pStyle w:val="ListParagraph"/>
        <w:numPr>
          <w:ilvl w:val="1"/>
          <w:numId w:val="1"/>
        </w:numPr>
        <w:autoSpaceDE w:val="0"/>
        <w:autoSpaceDN w:val="0"/>
        <w:adjustRightInd w:val="0"/>
        <w:spacing w:after="0" w:line="240" w:lineRule="auto"/>
        <w:rPr>
          <w:rFonts w:ascii="Arial" w:hAnsi="Arial" w:cs="Arial"/>
          <w:color w:val="000000"/>
        </w:rPr>
      </w:pPr>
      <w:r w:rsidRPr="00D67AEC">
        <w:rPr>
          <w:rFonts w:ascii="Arial" w:hAnsi="Arial" w:cs="Arial"/>
        </w:rPr>
        <w:t xml:space="preserve">Only current, IRB approved advertising materials will be permitted on displays.  The IRB approval must include the method/location where the recruitment material will be used, as applicable.  A generic statement in the IRB application such as “recruitment </w:t>
      </w:r>
      <w:r w:rsidRPr="00735290">
        <w:rPr>
          <w:rFonts w:ascii="Arial" w:hAnsi="Arial" w:cs="Arial"/>
        </w:rPr>
        <w:t>material will be placed in the USF Health clinic waiting areas” is acceptable for this purpose for USF relied upon IRBs that require the location of recruitment material to be specified.</w:t>
      </w:r>
    </w:p>
    <w:p w14:paraId="77D1B947" w14:textId="0618B029" w:rsidR="00D67AEC" w:rsidRPr="00D67AEC" w:rsidRDefault="00203EFC" w:rsidP="006F2480">
      <w:pPr>
        <w:pStyle w:val="ListParagraph"/>
        <w:numPr>
          <w:ilvl w:val="1"/>
          <w:numId w:val="1"/>
        </w:numPr>
        <w:autoSpaceDE w:val="0"/>
        <w:autoSpaceDN w:val="0"/>
        <w:adjustRightInd w:val="0"/>
        <w:spacing w:after="0" w:line="240" w:lineRule="auto"/>
        <w:rPr>
          <w:rFonts w:ascii="Arial" w:hAnsi="Arial" w:cs="Arial"/>
          <w:color w:val="000000"/>
        </w:rPr>
      </w:pPr>
      <w:r w:rsidRPr="00D67AEC">
        <w:rPr>
          <w:rFonts w:ascii="Arial" w:hAnsi="Arial" w:cs="Arial"/>
        </w:rPr>
        <w:t xml:space="preserve">The OCR will disseminate information via email to research teams advising them to obtain IRB approval, if necessary, prior to utilizing this recruitment method.  </w:t>
      </w:r>
    </w:p>
    <w:p w14:paraId="7F4C4142" w14:textId="148FEBFE" w:rsidR="00D67AEC" w:rsidRPr="00D67AEC" w:rsidRDefault="00203EFC" w:rsidP="006F2480">
      <w:pPr>
        <w:pStyle w:val="ListParagraph"/>
        <w:numPr>
          <w:ilvl w:val="1"/>
          <w:numId w:val="1"/>
        </w:numPr>
        <w:autoSpaceDE w:val="0"/>
        <w:autoSpaceDN w:val="0"/>
        <w:adjustRightInd w:val="0"/>
        <w:spacing w:after="0" w:line="240" w:lineRule="auto"/>
        <w:rPr>
          <w:rFonts w:ascii="Arial" w:hAnsi="Arial" w:cs="Arial"/>
          <w:color w:val="000000"/>
        </w:rPr>
      </w:pPr>
      <w:r w:rsidRPr="00D67AEC">
        <w:rPr>
          <w:rFonts w:ascii="Arial" w:hAnsi="Arial" w:cs="Arial"/>
        </w:rPr>
        <w:t xml:space="preserve">Each study coordinator using the displays to advertise their studies will be asked to sign an attestation </w:t>
      </w:r>
      <w:r w:rsidR="001C122A">
        <w:rPr>
          <w:rFonts w:ascii="Arial" w:hAnsi="Arial" w:cs="Arial"/>
        </w:rPr>
        <w:t xml:space="preserve">(Appendix U) </w:t>
      </w:r>
      <w:r w:rsidRPr="00D67AEC">
        <w:rPr>
          <w:rFonts w:ascii="Arial" w:hAnsi="Arial" w:cs="Arial"/>
        </w:rPr>
        <w:t>that they have read this procedure</w:t>
      </w:r>
      <w:r w:rsidR="006D6C42">
        <w:rPr>
          <w:rFonts w:ascii="Arial" w:hAnsi="Arial" w:cs="Arial"/>
        </w:rPr>
        <w:t>.</w:t>
      </w:r>
    </w:p>
    <w:p w14:paraId="0001766B" w14:textId="2B7076C4" w:rsidR="00203EFC" w:rsidRPr="00D67AEC" w:rsidRDefault="00203EFC" w:rsidP="006F2480">
      <w:pPr>
        <w:pStyle w:val="ListParagraph"/>
        <w:numPr>
          <w:ilvl w:val="1"/>
          <w:numId w:val="1"/>
        </w:numPr>
        <w:autoSpaceDE w:val="0"/>
        <w:autoSpaceDN w:val="0"/>
        <w:adjustRightInd w:val="0"/>
        <w:spacing w:after="0" w:line="240" w:lineRule="auto"/>
        <w:rPr>
          <w:rFonts w:ascii="Arial" w:hAnsi="Arial" w:cs="Arial"/>
          <w:color w:val="000000"/>
        </w:rPr>
      </w:pPr>
      <w:r w:rsidRPr="00D67AEC">
        <w:rPr>
          <w:rFonts w:ascii="Arial" w:hAnsi="Arial" w:cs="Arial"/>
        </w:rPr>
        <w:t>A complete recruitment materials submission packet  includes</w:t>
      </w:r>
    </w:p>
    <w:p w14:paraId="53288EA8" w14:textId="65ACD6F4" w:rsidR="00203EFC" w:rsidRDefault="00203EFC" w:rsidP="006F2480">
      <w:pPr>
        <w:pStyle w:val="ListParagraph"/>
        <w:numPr>
          <w:ilvl w:val="1"/>
          <w:numId w:val="3"/>
        </w:numPr>
        <w:rPr>
          <w:rFonts w:ascii="Arial" w:hAnsi="Arial" w:cs="Arial"/>
        </w:rPr>
      </w:pPr>
      <w:r>
        <w:rPr>
          <w:rFonts w:ascii="Arial" w:hAnsi="Arial" w:cs="Arial"/>
        </w:rPr>
        <w:t>Recruitment Materials Cover Sheet</w:t>
      </w:r>
      <w:r w:rsidR="001C122A">
        <w:rPr>
          <w:rFonts w:ascii="Arial" w:hAnsi="Arial" w:cs="Arial"/>
        </w:rPr>
        <w:t xml:space="preserve"> (Appendix T)</w:t>
      </w:r>
    </w:p>
    <w:p w14:paraId="55F5AE2E" w14:textId="32BF3DC3" w:rsidR="00203EFC" w:rsidRDefault="00203EFC" w:rsidP="006F2480">
      <w:pPr>
        <w:pStyle w:val="ListParagraph"/>
        <w:numPr>
          <w:ilvl w:val="1"/>
          <w:numId w:val="3"/>
        </w:numPr>
        <w:rPr>
          <w:rFonts w:ascii="Arial" w:hAnsi="Arial" w:cs="Arial"/>
        </w:rPr>
      </w:pPr>
      <w:r>
        <w:rPr>
          <w:rFonts w:ascii="Arial" w:hAnsi="Arial" w:cs="Arial"/>
        </w:rPr>
        <w:t>Attestation Statement</w:t>
      </w:r>
      <w:r w:rsidR="001C122A">
        <w:rPr>
          <w:rFonts w:ascii="Arial" w:hAnsi="Arial" w:cs="Arial"/>
        </w:rPr>
        <w:t xml:space="preserve"> (Appendix U)</w:t>
      </w:r>
    </w:p>
    <w:p w14:paraId="01FDF350" w14:textId="77777777" w:rsidR="005612C1" w:rsidRDefault="00203EFC" w:rsidP="005612C1">
      <w:pPr>
        <w:pStyle w:val="ListParagraph"/>
        <w:numPr>
          <w:ilvl w:val="1"/>
          <w:numId w:val="3"/>
        </w:numPr>
        <w:rPr>
          <w:rFonts w:ascii="Arial" w:hAnsi="Arial" w:cs="Arial"/>
        </w:rPr>
      </w:pPr>
      <w:r>
        <w:rPr>
          <w:rFonts w:ascii="Arial" w:hAnsi="Arial" w:cs="Arial"/>
        </w:rPr>
        <w:t>Hard copies of IRB approved recruitment material to be placed in the carousels</w:t>
      </w:r>
    </w:p>
    <w:p w14:paraId="703B23C4" w14:textId="2A328D34" w:rsidR="005612C1" w:rsidRPr="002010F4" w:rsidRDefault="00203EFC" w:rsidP="002010F4">
      <w:pPr>
        <w:pStyle w:val="ListParagraph"/>
        <w:numPr>
          <w:ilvl w:val="1"/>
          <w:numId w:val="1"/>
        </w:numPr>
        <w:rPr>
          <w:rFonts w:ascii="Arial" w:hAnsi="Arial" w:cs="Arial"/>
        </w:rPr>
      </w:pPr>
      <w:r w:rsidRPr="002010F4">
        <w:rPr>
          <w:rFonts w:ascii="Arial" w:hAnsi="Arial" w:cs="Arial"/>
        </w:rPr>
        <w:t>All research staff interested in posting clinical trial(s) materials in the USF Health clinic waiting areas</w:t>
      </w:r>
      <w:r w:rsidR="006D6C42">
        <w:rPr>
          <w:rFonts w:ascii="Arial" w:hAnsi="Arial" w:cs="Arial"/>
        </w:rPr>
        <w:t xml:space="preserve"> should contact </w:t>
      </w:r>
      <w:r w:rsidR="001C77EC">
        <w:rPr>
          <w:rFonts w:ascii="Arial" w:hAnsi="Arial" w:cs="Arial"/>
        </w:rPr>
        <w:t xml:space="preserve">an </w:t>
      </w:r>
      <w:r w:rsidR="006D6C42">
        <w:rPr>
          <w:rFonts w:ascii="Arial" w:hAnsi="Arial" w:cs="Arial"/>
        </w:rPr>
        <w:t xml:space="preserve">OCR Research Nurse. </w:t>
      </w:r>
    </w:p>
    <w:p w14:paraId="4DECFCBF" w14:textId="2435555F" w:rsidR="005612C1" w:rsidRDefault="00203EFC" w:rsidP="002010F4">
      <w:pPr>
        <w:pStyle w:val="ListParagraph"/>
        <w:numPr>
          <w:ilvl w:val="1"/>
          <w:numId w:val="1"/>
        </w:numPr>
        <w:rPr>
          <w:rFonts w:ascii="Arial" w:hAnsi="Arial" w:cs="Arial"/>
        </w:rPr>
      </w:pPr>
      <w:r w:rsidRPr="005612C1">
        <w:rPr>
          <w:rFonts w:ascii="Arial" w:hAnsi="Arial" w:cs="Arial"/>
        </w:rPr>
        <w:t>Designated OCR staff and each individual research coordinator will arrange to meet at a mutually agreed upon place and time</w:t>
      </w:r>
      <w:r w:rsidR="001C77EC">
        <w:rPr>
          <w:rFonts w:ascii="Arial" w:hAnsi="Arial" w:cs="Arial"/>
        </w:rPr>
        <w:t xml:space="preserve"> where</w:t>
      </w:r>
      <w:r w:rsidRPr="005612C1">
        <w:rPr>
          <w:rFonts w:ascii="Arial" w:hAnsi="Arial" w:cs="Arial"/>
        </w:rPr>
        <w:t xml:space="preserve">, the research coordinator will provide OCR staff with a complete recruitment materials submission packet. </w:t>
      </w:r>
    </w:p>
    <w:p w14:paraId="6C8686E1" w14:textId="7C776181" w:rsidR="005612C1" w:rsidRDefault="00203EFC" w:rsidP="002010F4">
      <w:pPr>
        <w:pStyle w:val="ListParagraph"/>
        <w:numPr>
          <w:ilvl w:val="1"/>
          <w:numId w:val="1"/>
        </w:numPr>
        <w:rPr>
          <w:rFonts w:ascii="Arial" w:hAnsi="Arial" w:cs="Arial"/>
        </w:rPr>
      </w:pPr>
      <w:r w:rsidRPr="005612C1">
        <w:rPr>
          <w:rFonts w:ascii="Arial" w:hAnsi="Arial" w:cs="Arial"/>
        </w:rPr>
        <w:t xml:space="preserve">In lieu of a meeting, the research coordinator may send a complete recruitment materials submission </w:t>
      </w:r>
      <w:r w:rsidR="006D6C42">
        <w:rPr>
          <w:rFonts w:ascii="Arial" w:hAnsi="Arial" w:cs="Arial"/>
        </w:rPr>
        <w:t>packet via campus mail to OCR</w:t>
      </w:r>
      <w:r w:rsidR="00761DDC">
        <w:rPr>
          <w:rFonts w:ascii="Arial" w:hAnsi="Arial" w:cs="Arial"/>
        </w:rPr>
        <w:t>, attention Recruitment.</w:t>
      </w:r>
    </w:p>
    <w:p w14:paraId="0BBED297" w14:textId="77777777" w:rsidR="00761DDC" w:rsidRDefault="00203EFC" w:rsidP="002010F4">
      <w:pPr>
        <w:pStyle w:val="ListParagraph"/>
        <w:numPr>
          <w:ilvl w:val="1"/>
          <w:numId w:val="1"/>
        </w:numPr>
        <w:rPr>
          <w:rFonts w:ascii="Arial" w:hAnsi="Arial" w:cs="Arial"/>
        </w:rPr>
      </w:pPr>
      <w:r w:rsidRPr="00761DDC">
        <w:rPr>
          <w:rFonts w:ascii="Arial" w:hAnsi="Arial" w:cs="Arial"/>
        </w:rPr>
        <w:t>OCR staff will contact the research coordinator to request any missing items from the submission packet.</w:t>
      </w:r>
      <w:bookmarkStart w:id="0" w:name="_GoBack"/>
      <w:bookmarkEnd w:id="0"/>
    </w:p>
    <w:p w14:paraId="7B975FDF" w14:textId="77777777" w:rsidR="00761DDC" w:rsidRDefault="00203EFC" w:rsidP="002010F4">
      <w:pPr>
        <w:pStyle w:val="ListParagraph"/>
        <w:numPr>
          <w:ilvl w:val="1"/>
          <w:numId w:val="1"/>
        </w:numPr>
        <w:rPr>
          <w:rFonts w:ascii="Arial" w:hAnsi="Arial" w:cs="Arial"/>
        </w:rPr>
      </w:pPr>
      <w:r w:rsidRPr="00761DDC">
        <w:rPr>
          <w:rFonts w:ascii="Arial" w:hAnsi="Arial" w:cs="Arial"/>
        </w:rPr>
        <w:t>Cop</w:t>
      </w:r>
      <w:r w:rsidR="00764878" w:rsidRPr="00761DDC">
        <w:rPr>
          <w:rFonts w:ascii="Arial" w:hAnsi="Arial" w:cs="Arial"/>
        </w:rPr>
        <w:t>ies of recruitment materials wil</w:t>
      </w:r>
      <w:r w:rsidRPr="00761DDC">
        <w:rPr>
          <w:rFonts w:ascii="Arial" w:hAnsi="Arial" w:cs="Arial"/>
        </w:rPr>
        <w:t>l not be distributed until the OCR is in possession of a complete recruitment materials submission packet</w:t>
      </w:r>
    </w:p>
    <w:p w14:paraId="296F9833" w14:textId="1F94291A" w:rsidR="001C122A" w:rsidRPr="001C122A" w:rsidRDefault="00203EFC" w:rsidP="00735290">
      <w:pPr>
        <w:pStyle w:val="ListParagraph"/>
        <w:numPr>
          <w:ilvl w:val="1"/>
          <w:numId w:val="1"/>
        </w:numPr>
        <w:rPr>
          <w:rFonts w:ascii="Arial" w:hAnsi="Arial" w:cs="Arial"/>
        </w:rPr>
      </w:pPr>
      <w:r w:rsidRPr="00761DDC">
        <w:rPr>
          <w:rFonts w:ascii="Arial" w:hAnsi="Arial" w:cs="Arial"/>
        </w:rPr>
        <w:t>OCR staff will scan a copy of the recruitment materials submission packet and store them in the OCR SharePoint.</w:t>
      </w:r>
    </w:p>
    <w:p w14:paraId="362AF475" w14:textId="77777777" w:rsidR="005612C1" w:rsidRDefault="00203EFC" w:rsidP="002010F4">
      <w:pPr>
        <w:pStyle w:val="ListParagraph"/>
        <w:numPr>
          <w:ilvl w:val="1"/>
          <w:numId w:val="1"/>
        </w:numPr>
        <w:rPr>
          <w:rFonts w:ascii="Arial" w:hAnsi="Arial" w:cs="Arial"/>
        </w:rPr>
      </w:pPr>
      <w:r w:rsidRPr="005612C1">
        <w:rPr>
          <w:rFonts w:ascii="Arial" w:hAnsi="Arial" w:cs="Arial"/>
        </w:rPr>
        <w:t>OCR staff will place and manage all recruitment bro</w:t>
      </w:r>
      <w:r w:rsidR="00D67AEC" w:rsidRPr="005612C1">
        <w:rPr>
          <w:rFonts w:ascii="Arial" w:hAnsi="Arial" w:cs="Arial"/>
        </w:rPr>
        <w:t xml:space="preserve">chures on displays on a regular </w:t>
      </w:r>
      <w:r w:rsidRPr="005612C1">
        <w:rPr>
          <w:rFonts w:ascii="Arial" w:hAnsi="Arial" w:cs="Arial"/>
        </w:rPr>
        <w:t xml:space="preserve">basis, at a minimum of once per week.  </w:t>
      </w:r>
    </w:p>
    <w:p w14:paraId="7E94CD85" w14:textId="211D4E07" w:rsidR="0055714C" w:rsidRPr="00735290" w:rsidRDefault="00203EFC" w:rsidP="0055714C">
      <w:pPr>
        <w:pStyle w:val="ListParagraph"/>
        <w:numPr>
          <w:ilvl w:val="1"/>
          <w:numId w:val="1"/>
        </w:numPr>
        <w:rPr>
          <w:rFonts w:ascii="Arial" w:hAnsi="Arial" w:cs="Arial"/>
        </w:rPr>
      </w:pPr>
      <w:r w:rsidRPr="005612C1">
        <w:rPr>
          <w:rFonts w:ascii="Arial" w:hAnsi="Arial" w:cs="Arial"/>
        </w:rPr>
        <w:t xml:space="preserve">The OCR will notify the research coordinator via email or phone if study materials need to be replenished.  The coordinator will provide designated OCR staff with additional hard copy recruitment materials.  The OCR is responsible for placing the brochures on the displays. </w:t>
      </w:r>
    </w:p>
    <w:p w14:paraId="40956DB9" w14:textId="77777777" w:rsidR="005612C1" w:rsidRDefault="00203EFC" w:rsidP="002010F4">
      <w:pPr>
        <w:pStyle w:val="ListParagraph"/>
        <w:numPr>
          <w:ilvl w:val="1"/>
          <w:numId w:val="1"/>
        </w:numPr>
        <w:rPr>
          <w:rFonts w:ascii="Arial" w:hAnsi="Arial" w:cs="Arial"/>
        </w:rPr>
      </w:pPr>
      <w:r w:rsidRPr="005612C1">
        <w:rPr>
          <w:rFonts w:ascii="Arial" w:hAnsi="Arial" w:cs="Arial"/>
        </w:rPr>
        <w:t xml:space="preserve">The research coordinator is responsible for notifying the IRB and OCR immediately of any changes in recruitment and advertising materials and/or change in study </w:t>
      </w:r>
      <w:r w:rsidRPr="005612C1">
        <w:rPr>
          <w:rFonts w:ascii="Arial" w:hAnsi="Arial" w:cs="Arial"/>
        </w:rPr>
        <w:lastRenderedPageBreak/>
        <w:t>status (e.g., closed to accrual) so that the recruitment material may be removed or replaced as applicable.</w:t>
      </w:r>
    </w:p>
    <w:p w14:paraId="5C4FA40D" w14:textId="2A6618CB" w:rsidR="00735290" w:rsidRDefault="00203EFC" w:rsidP="00735290">
      <w:pPr>
        <w:pStyle w:val="ListParagraph"/>
        <w:numPr>
          <w:ilvl w:val="1"/>
          <w:numId w:val="1"/>
        </w:numPr>
        <w:rPr>
          <w:rFonts w:ascii="Arial" w:hAnsi="Arial" w:cs="Arial"/>
        </w:rPr>
      </w:pPr>
      <w:r w:rsidRPr="005612C1">
        <w:rPr>
          <w:rFonts w:ascii="Arial" w:hAnsi="Arial" w:cs="Arial"/>
        </w:rPr>
        <w:t xml:space="preserve">OCR will conduct periodic quality assurance checks to confirm continuous IRB approval remains in effect for the recruitment material.   </w:t>
      </w:r>
    </w:p>
    <w:p w14:paraId="11F9857E" w14:textId="77777777" w:rsidR="001C122A" w:rsidRDefault="001C122A" w:rsidP="001C122A">
      <w:pPr>
        <w:rPr>
          <w:rFonts w:ascii="Arial" w:hAnsi="Arial" w:cs="Arial"/>
        </w:rPr>
      </w:pPr>
    </w:p>
    <w:p w14:paraId="2E4BE3E5" w14:textId="77777777" w:rsidR="001C122A" w:rsidRDefault="001C122A" w:rsidP="001C122A">
      <w:pPr>
        <w:rPr>
          <w:rFonts w:ascii="Arial" w:hAnsi="Arial" w:cs="Arial"/>
        </w:rPr>
      </w:pPr>
    </w:p>
    <w:p w14:paraId="30728F00" w14:textId="77777777" w:rsidR="001C122A" w:rsidRDefault="001C122A" w:rsidP="001C122A">
      <w:pPr>
        <w:rPr>
          <w:rFonts w:ascii="Arial" w:hAnsi="Arial" w:cs="Arial"/>
        </w:rPr>
      </w:pPr>
    </w:p>
    <w:p w14:paraId="35E4BF6E" w14:textId="77777777" w:rsidR="001C122A" w:rsidRDefault="001C122A" w:rsidP="001C122A">
      <w:pPr>
        <w:rPr>
          <w:rFonts w:ascii="Arial" w:hAnsi="Arial" w:cs="Arial"/>
        </w:rPr>
      </w:pPr>
    </w:p>
    <w:p w14:paraId="23909CEE" w14:textId="77777777" w:rsidR="001C122A" w:rsidRDefault="001C122A" w:rsidP="001C122A">
      <w:pPr>
        <w:rPr>
          <w:rFonts w:ascii="Arial" w:hAnsi="Arial" w:cs="Arial"/>
        </w:rPr>
      </w:pPr>
    </w:p>
    <w:p w14:paraId="7DE11240" w14:textId="77777777" w:rsidR="001C122A" w:rsidRDefault="001C122A" w:rsidP="001C122A">
      <w:pPr>
        <w:rPr>
          <w:rFonts w:ascii="Arial" w:hAnsi="Arial" w:cs="Arial"/>
        </w:rPr>
      </w:pPr>
    </w:p>
    <w:p w14:paraId="3E861F81" w14:textId="77777777" w:rsidR="001C122A" w:rsidRDefault="001C122A" w:rsidP="001C122A">
      <w:pPr>
        <w:rPr>
          <w:rFonts w:ascii="Arial" w:hAnsi="Arial" w:cs="Arial"/>
        </w:rPr>
      </w:pPr>
    </w:p>
    <w:p w14:paraId="3A737440" w14:textId="77777777" w:rsidR="001C122A" w:rsidRDefault="001C122A" w:rsidP="001C122A">
      <w:pPr>
        <w:rPr>
          <w:rFonts w:ascii="Arial" w:hAnsi="Arial" w:cs="Arial"/>
        </w:rPr>
      </w:pPr>
    </w:p>
    <w:p w14:paraId="7A3F93AA" w14:textId="77777777" w:rsidR="001C122A" w:rsidRDefault="001C122A" w:rsidP="001C122A">
      <w:pPr>
        <w:rPr>
          <w:rFonts w:ascii="Arial" w:hAnsi="Arial" w:cs="Arial"/>
        </w:rPr>
      </w:pPr>
    </w:p>
    <w:p w14:paraId="7410C77B" w14:textId="77777777" w:rsidR="001C122A" w:rsidRDefault="001C122A" w:rsidP="001C122A">
      <w:pPr>
        <w:rPr>
          <w:rFonts w:ascii="Arial" w:hAnsi="Arial" w:cs="Arial"/>
        </w:rPr>
      </w:pPr>
    </w:p>
    <w:p w14:paraId="42C1BB16" w14:textId="77777777" w:rsidR="001C122A" w:rsidRDefault="001C122A" w:rsidP="001C122A">
      <w:pPr>
        <w:rPr>
          <w:rFonts w:ascii="Arial" w:hAnsi="Arial" w:cs="Arial"/>
        </w:rPr>
      </w:pPr>
    </w:p>
    <w:p w14:paraId="1D330925" w14:textId="77777777" w:rsidR="001C122A" w:rsidRDefault="001C122A" w:rsidP="001C122A">
      <w:pPr>
        <w:rPr>
          <w:rFonts w:ascii="Arial" w:hAnsi="Arial" w:cs="Arial"/>
        </w:rPr>
      </w:pPr>
    </w:p>
    <w:p w14:paraId="49F2953A" w14:textId="77777777" w:rsidR="001C122A" w:rsidRDefault="001C122A" w:rsidP="001C122A">
      <w:pPr>
        <w:rPr>
          <w:rFonts w:ascii="Arial" w:hAnsi="Arial" w:cs="Arial"/>
        </w:rPr>
      </w:pPr>
    </w:p>
    <w:p w14:paraId="7A53A22A" w14:textId="77777777" w:rsidR="001C122A" w:rsidRDefault="001C122A" w:rsidP="001C122A">
      <w:pPr>
        <w:rPr>
          <w:rFonts w:ascii="Arial" w:hAnsi="Arial" w:cs="Arial"/>
        </w:rPr>
      </w:pPr>
    </w:p>
    <w:p w14:paraId="75812C20" w14:textId="77777777" w:rsidR="001C122A" w:rsidRDefault="001C122A" w:rsidP="001C122A">
      <w:pPr>
        <w:rPr>
          <w:rFonts w:ascii="Arial" w:hAnsi="Arial" w:cs="Arial"/>
        </w:rPr>
      </w:pPr>
    </w:p>
    <w:p w14:paraId="06C24804" w14:textId="77777777" w:rsidR="001C122A" w:rsidRDefault="001C122A" w:rsidP="001C122A">
      <w:pPr>
        <w:rPr>
          <w:rFonts w:ascii="Arial" w:hAnsi="Arial" w:cs="Arial"/>
        </w:rPr>
      </w:pPr>
    </w:p>
    <w:p w14:paraId="66518616" w14:textId="77777777" w:rsidR="001C122A" w:rsidRPr="001C122A" w:rsidRDefault="001C122A" w:rsidP="001C122A">
      <w:pPr>
        <w:rPr>
          <w:rFonts w:ascii="Arial" w:hAnsi="Arial" w:cs="Arial"/>
        </w:rPr>
      </w:pPr>
    </w:p>
    <w:p w14:paraId="0746C63F" w14:textId="77777777" w:rsidR="0084237E" w:rsidRDefault="0084237E"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72" w:tblpY="-9"/>
        <w:tblW w:w="9558" w:type="dxa"/>
        <w:tblLayout w:type="fixed"/>
        <w:tblLook w:val="04A0" w:firstRow="1" w:lastRow="0" w:firstColumn="1" w:lastColumn="0" w:noHBand="0" w:noVBand="1"/>
      </w:tblPr>
      <w:tblGrid>
        <w:gridCol w:w="2538"/>
        <w:gridCol w:w="7020"/>
      </w:tblGrid>
      <w:tr w:rsidR="00C91E2E" w:rsidRPr="004058B2" w14:paraId="0746C647" w14:textId="77777777" w:rsidTr="002010F4">
        <w:trPr>
          <w:trHeight w:val="483"/>
        </w:trPr>
        <w:tc>
          <w:tcPr>
            <w:tcW w:w="2538" w:type="dxa"/>
            <w:vAlign w:val="bottom"/>
          </w:tcPr>
          <w:p w14:paraId="0746C640" w14:textId="77777777" w:rsidR="00920F4F" w:rsidRPr="004058B2" w:rsidRDefault="00920F4F" w:rsidP="00EE1D92">
            <w:pPr>
              <w:tabs>
                <w:tab w:val="left" w:pos="10160"/>
              </w:tabs>
              <w:autoSpaceDE w:val="0"/>
              <w:autoSpaceDN w:val="0"/>
              <w:adjustRightInd w:val="0"/>
              <w:rPr>
                <w:rFonts w:ascii="Arial" w:hAnsi="Arial" w:cs="Arial"/>
              </w:rPr>
            </w:pPr>
            <w:r w:rsidRPr="004058B2">
              <w:rPr>
                <w:rFonts w:ascii="Arial" w:hAnsi="Arial" w:cs="Arial"/>
                <w:b/>
                <w:bCs/>
                <w:spacing w:val="2"/>
                <w:w w:val="103"/>
              </w:rPr>
              <w:lastRenderedPageBreak/>
              <w:t>REFERENCES</w:t>
            </w:r>
            <w:r w:rsidRPr="004058B2">
              <w:rPr>
                <w:rFonts w:ascii="Arial" w:hAnsi="Arial" w:cs="Arial"/>
                <w:b/>
                <w:bCs/>
                <w:w w:val="103"/>
              </w:rPr>
              <w:t>:</w:t>
            </w:r>
            <w:r w:rsidRPr="004058B2">
              <w:rPr>
                <w:rFonts w:ascii="Arial" w:hAnsi="Arial" w:cs="Arial"/>
              </w:rPr>
              <w:tab/>
            </w:r>
          </w:p>
        </w:tc>
        <w:tc>
          <w:tcPr>
            <w:tcW w:w="7020" w:type="dxa"/>
          </w:tcPr>
          <w:p w14:paraId="0746C641" w14:textId="77777777" w:rsidR="002524AF" w:rsidRPr="00E92F6B" w:rsidRDefault="002524AF" w:rsidP="002524AF">
            <w:pPr>
              <w:autoSpaceDE w:val="0"/>
              <w:autoSpaceDN w:val="0"/>
              <w:adjustRightInd w:val="0"/>
              <w:rPr>
                <w:rFonts w:ascii="Arial" w:hAnsi="Arial" w:cs="Arial"/>
                <w:color w:val="000000"/>
                <w:sz w:val="20"/>
                <w:szCs w:val="20"/>
              </w:rPr>
            </w:pPr>
            <w:r w:rsidRPr="00E92F6B">
              <w:rPr>
                <w:rFonts w:ascii="Arial" w:hAnsi="Arial" w:cs="Arial"/>
                <w:color w:val="000000"/>
                <w:sz w:val="20"/>
                <w:szCs w:val="20"/>
              </w:rPr>
              <w:t xml:space="preserve">21CFR50.20, 50.25 </w:t>
            </w:r>
          </w:p>
          <w:p w14:paraId="0746C642" w14:textId="77777777" w:rsidR="002524AF" w:rsidRPr="00E92F6B" w:rsidRDefault="002524AF" w:rsidP="002524AF">
            <w:pPr>
              <w:autoSpaceDE w:val="0"/>
              <w:autoSpaceDN w:val="0"/>
              <w:adjustRightInd w:val="0"/>
              <w:rPr>
                <w:rFonts w:ascii="Arial" w:hAnsi="Arial" w:cs="Arial"/>
                <w:color w:val="000000"/>
                <w:sz w:val="20"/>
                <w:szCs w:val="20"/>
              </w:rPr>
            </w:pPr>
            <w:r w:rsidRPr="00E92F6B">
              <w:rPr>
                <w:rFonts w:ascii="Arial" w:hAnsi="Arial" w:cs="Arial"/>
                <w:color w:val="000000"/>
                <w:sz w:val="20"/>
                <w:szCs w:val="20"/>
              </w:rPr>
              <w:t xml:space="preserve">21CFR56.111(a)(3); 56.111(b) </w:t>
            </w:r>
          </w:p>
          <w:p w14:paraId="0746C643" w14:textId="77777777" w:rsidR="002524AF" w:rsidRPr="00E92F6B" w:rsidRDefault="002524AF" w:rsidP="002524AF">
            <w:pPr>
              <w:autoSpaceDE w:val="0"/>
              <w:autoSpaceDN w:val="0"/>
              <w:adjustRightInd w:val="0"/>
              <w:rPr>
                <w:rFonts w:ascii="Arial" w:hAnsi="Arial" w:cs="Arial"/>
                <w:color w:val="000000"/>
                <w:sz w:val="20"/>
                <w:szCs w:val="20"/>
              </w:rPr>
            </w:pPr>
            <w:r w:rsidRPr="00E92F6B">
              <w:rPr>
                <w:rFonts w:ascii="Arial" w:hAnsi="Arial" w:cs="Arial"/>
                <w:color w:val="000000"/>
                <w:sz w:val="20"/>
                <w:szCs w:val="20"/>
              </w:rPr>
              <w:t xml:space="preserve">21CFR812.20(b)(11) </w:t>
            </w:r>
          </w:p>
          <w:p w14:paraId="0746C644" w14:textId="77777777" w:rsidR="002524AF" w:rsidRPr="00E92F6B" w:rsidRDefault="002524AF" w:rsidP="002524AF">
            <w:pPr>
              <w:autoSpaceDE w:val="0"/>
              <w:autoSpaceDN w:val="0"/>
              <w:adjustRightInd w:val="0"/>
              <w:rPr>
                <w:rFonts w:ascii="Arial" w:hAnsi="Arial" w:cs="Arial"/>
                <w:color w:val="000000"/>
                <w:sz w:val="20"/>
                <w:szCs w:val="20"/>
              </w:rPr>
            </w:pPr>
            <w:r w:rsidRPr="00E92F6B">
              <w:rPr>
                <w:rFonts w:ascii="Arial" w:hAnsi="Arial" w:cs="Arial"/>
                <w:color w:val="000000"/>
                <w:sz w:val="20"/>
                <w:szCs w:val="20"/>
              </w:rPr>
              <w:t xml:space="preserve">Belmont Report, The National Commission for the Protection of Human Subjects of Biomedical and Behavioral Research April 18, 1979 </w:t>
            </w:r>
          </w:p>
          <w:p w14:paraId="0746C645" w14:textId="77777777" w:rsidR="00D94DBB" w:rsidRPr="00E92F6B" w:rsidRDefault="002524AF" w:rsidP="002524AF">
            <w:pPr>
              <w:rPr>
                <w:rFonts w:ascii="Arial" w:hAnsi="Arial" w:cs="Arial"/>
                <w:color w:val="000000"/>
                <w:sz w:val="20"/>
                <w:szCs w:val="20"/>
              </w:rPr>
            </w:pPr>
            <w:r w:rsidRPr="00E92F6B">
              <w:rPr>
                <w:rFonts w:ascii="Arial" w:hAnsi="Arial" w:cs="Arial"/>
                <w:color w:val="000000"/>
                <w:sz w:val="20"/>
                <w:szCs w:val="20"/>
              </w:rPr>
              <w:t>FDA Information Sheet</w:t>
            </w:r>
            <w:r w:rsidR="00E229D2" w:rsidRPr="00E92F6B">
              <w:rPr>
                <w:rFonts w:ascii="Arial" w:hAnsi="Arial" w:cs="Arial"/>
                <w:color w:val="000000"/>
                <w:sz w:val="20"/>
                <w:szCs w:val="20"/>
              </w:rPr>
              <w:t xml:space="preserve">-Recruiting Study Subjects-Information Sheet Guidance for Institutional Review Boards and Clinical Investigators </w:t>
            </w:r>
          </w:p>
          <w:p w14:paraId="0746C646" w14:textId="77777777" w:rsidR="007C3EB2" w:rsidRPr="00E92F6B" w:rsidRDefault="007C3EB2" w:rsidP="002524AF">
            <w:pPr>
              <w:rPr>
                <w:rFonts w:ascii="Arial" w:hAnsi="Arial" w:cs="Arial"/>
                <w:sz w:val="20"/>
                <w:szCs w:val="20"/>
              </w:rPr>
            </w:pPr>
            <w:r w:rsidRPr="00E92F6B">
              <w:rPr>
                <w:rFonts w:ascii="Arial" w:hAnsi="Arial" w:cs="Arial"/>
                <w:color w:val="000000"/>
                <w:sz w:val="20"/>
                <w:szCs w:val="20"/>
              </w:rPr>
              <w:t>ICH 4.1.1.29</w:t>
            </w:r>
          </w:p>
        </w:tc>
      </w:tr>
      <w:tr w:rsidR="00C91E2E" w:rsidRPr="004058B2" w14:paraId="0746C64B" w14:textId="77777777" w:rsidTr="002010F4">
        <w:trPr>
          <w:trHeight w:val="1295"/>
        </w:trPr>
        <w:tc>
          <w:tcPr>
            <w:tcW w:w="2538" w:type="dxa"/>
            <w:vAlign w:val="bottom"/>
          </w:tcPr>
          <w:p w14:paraId="0746C648" w14:textId="77777777" w:rsidR="00920F4F" w:rsidRPr="004058B2" w:rsidRDefault="00920F4F" w:rsidP="00EE1D92">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7020" w:type="dxa"/>
          </w:tcPr>
          <w:p w14:paraId="4C5C6DA0" w14:textId="77777777" w:rsidR="002010F4" w:rsidRPr="00E92F6B" w:rsidRDefault="000C0731" w:rsidP="00EE1D92">
            <w:pPr>
              <w:tabs>
                <w:tab w:val="left" w:pos="10160"/>
              </w:tabs>
              <w:autoSpaceDE w:val="0"/>
              <w:autoSpaceDN w:val="0"/>
              <w:adjustRightInd w:val="0"/>
              <w:rPr>
                <w:rFonts w:ascii="Arial" w:hAnsi="Arial" w:cs="Arial"/>
                <w:sz w:val="20"/>
                <w:szCs w:val="20"/>
              </w:rPr>
            </w:pPr>
            <w:r w:rsidRPr="00E92F6B">
              <w:rPr>
                <w:rFonts w:ascii="Arial" w:hAnsi="Arial" w:cs="Arial"/>
                <w:sz w:val="20"/>
                <w:szCs w:val="20"/>
              </w:rPr>
              <w:t xml:space="preserve">SOP #103: </w:t>
            </w:r>
            <w:r w:rsidR="007C3EB2" w:rsidRPr="00E92F6B">
              <w:rPr>
                <w:rFonts w:ascii="Arial" w:hAnsi="Arial" w:cs="Arial"/>
                <w:sz w:val="20"/>
                <w:szCs w:val="20"/>
              </w:rPr>
              <w:t>Respon</w:t>
            </w:r>
            <w:r w:rsidR="002010F4" w:rsidRPr="00E92F6B">
              <w:rPr>
                <w:rFonts w:ascii="Arial" w:hAnsi="Arial" w:cs="Arial"/>
                <w:sz w:val="20"/>
                <w:szCs w:val="20"/>
              </w:rPr>
              <w:t>sibilities of the Research Team</w:t>
            </w:r>
          </w:p>
          <w:p w14:paraId="6FD5F392" w14:textId="5730886F" w:rsidR="002010F4" w:rsidRPr="00E92F6B" w:rsidRDefault="002010F4" w:rsidP="00EE1D92">
            <w:pPr>
              <w:tabs>
                <w:tab w:val="left" w:pos="10160"/>
              </w:tabs>
              <w:autoSpaceDE w:val="0"/>
              <w:autoSpaceDN w:val="0"/>
              <w:adjustRightInd w:val="0"/>
              <w:rPr>
                <w:rFonts w:ascii="Arial" w:hAnsi="Arial" w:cs="Arial"/>
                <w:sz w:val="20"/>
                <w:szCs w:val="20"/>
              </w:rPr>
            </w:pPr>
            <w:r w:rsidRPr="00E92F6B">
              <w:rPr>
                <w:rFonts w:ascii="Arial" w:hAnsi="Arial" w:cs="Arial"/>
                <w:sz w:val="20"/>
                <w:szCs w:val="20"/>
              </w:rPr>
              <w:t>SOP</w:t>
            </w:r>
            <w:r w:rsidR="00320E06" w:rsidRPr="00E92F6B">
              <w:rPr>
                <w:rFonts w:ascii="Arial" w:hAnsi="Arial" w:cs="Arial"/>
                <w:sz w:val="20"/>
                <w:szCs w:val="20"/>
              </w:rPr>
              <w:t xml:space="preserve"> </w:t>
            </w:r>
            <w:r w:rsidRPr="00E92F6B">
              <w:rPr>
                <w:rFonts w:ascii="Arial" w:hAnsi="Arial" w:cs="Arial"/>
                <w:sz w:val="20"/>
                <w:szCs w:val="20"/>
              </w:rPr>
              <w:t>#201: Regulatory Documentation</w:t>
            </w:r>
          </w:p>
          <w:p w14:paraId="0746C64A" w14:textId="2C6FC6F6" w:rsidR="00920F4F" w:rsidRPr="00E92F6B" w:rsidRDefault="00320E06" w:rsidP="00EE1D92">
            <w:pPr>
              <w:tabs>
                <w:tab w:val="left" w:pos="10160"/>
              </w:tabs>
              <w:autoSpaceDE w:val="0"/>
              <w:autoSpaceDN w:val="0"/>
              <w:adjustRightInd w:val="0"/>
              <w:rPr>
                <w:rFonts w:ascii="Arial" w:hAnsi="Arial" w:cs="Arial"/>
                <w:sz w:val="20"/>
                <w:szCs w:val="20"/>
              </w:rPr>
            </w:pPr>
            <w:r w:rsidRPr="00E92F6B">
              <w:rPr>
                <w:rFonts w:ascii="Arial" w:hAnsi="Arial" w:cs="Arial"/>
                <w:sz w:val="20"/>
                <w:szCs w:val="20"/>
              </w:rPr>
              <w:t xml:space="preserve">SOP </w:t>
            </w:r>
            <w:r w:rsidR="000C0731" w:rsidRPr="00E92F6B">
              <w:rPr>
                <w:rFonts w:ascii="Arial" w:hAnsi="Arial" w:cs="Arial"/>
                <w:sz w:val="20"/>
                <w:szCs w:val="20"/>
              </w:rPr>
              <w:t xml:space="preserve">#402: </w:t>
            </w:r>
            <w:r w:rsidR="007C3EB2" w:rsidRPr="00E92F6B">
              <w:rPr>
                <w:rFonts w:ascii="Arial" w:hAnsi="Arial" w:cs="Arial"/>
                <w:sz w:val="20"/>
                <w:szCs w:val="20"/>
              </w:rPr>
              <w:t>Informed Consent Process</w:t>
            </w:r>
            <w:r w:rsidR="00920F4F" w:rsidRPr="00E92F6B">
              <w:rPr>
                <w:rFonts w:ascii="Arial" w:hAnsi="Arial" w:cs="Arial"/>
                <w:sz w:val="20"/>
                <w:szCs w:val="20"/>
              </w:rPr>
              <w:tab/>
            </w:r>
          </w:p>
        </w:tc>
      </w:tr>
      <w:tr w:rsidR="00C91E2E" w:rsidRPr="004058B2" w14:paraId="0746C64E" w14:textId="77777777" w:rsidTr="0055714C">
        <w:trPr>
          <w:trHeight w:val="1433"/>
        </w:trPr>
        <w:tc>
          <w:tcPr>
            <w:tcW w:w="2538" w:type="dxa"/>
            <w:vAlign w:val="bottom"/>
          </w:tcPr>
          <w:p w14:paraId="0746C64C" w14:textId="77777777" w:rsidR="00920F4F" w:rsidRPr="004058B2" w:rsidRDefault="00920F4F" w:rsidP="00EE1D92">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7020" w:type="dxa"/>
          </w:tcPr>
          <w:p w14:paraId="61DA33FF" w14:textId="5F16C6DD" w:rsidR="00213E33" w:rsidRPr="00E92F6B" w:rsidRDefault="00311822" w:rsidP="00213E33">
            <w:pPr>
              <w:shd w:val="clear" w:color="auto" w:fill="FFFFFF"/>
              <w:rPr>
                <w:rFonts w:ascii="Arial" w:eastAsia="Times New Roman" w:hAnsi="Arial" w:cs="Arial"/>
                <w:color w:val="333333"/>
                <w:sz w:val="20"/>
                <w:szCs w:val="20"/>
              </w:rPr>
            </w:pPr>
            <w:r>
              <w:rPr>
                <w:rFonts w:ascii="Arial" w:hAnsi="Arial" w:cs="Arial"/>
                <w:sz w:val="20"/>
                <w:szCs w:val="20"/>
              </w:rPr>
              <w:t>Appendix X</w:t>
            </w:r>
            <w:r w:rsidR="00213E33" w:rsidRPr="00E92F6B">
              <w:rPr>
                <w:rFonts w:ascii="Arial" w:hAnsi="Arial" w:cs="Arial"/>
                <w:sz w:val="20"/>
                <w:szCs w:val="20"/>
              </w:rPr>
              <w:t xml:space="preserve">:Recruitment Materials Cover Sheet: </w:t>
            </w:r>
            <w:r w:rsidR="00213E33" w:rsidRPr="00E92F6B">
              <w:rPr>
                <w:rFonts w:ascii="Arial" w:hAnsi="Arial" w:cs="Arial"/>
                <w:bCs/>
                <w:spacing w:val="2"/>
                <w:w w:val="103"/>
                <w:sz w:val="20"/>
                <w:szCs w:val="20"/>
              </w:rPr>
              <w:t>Recrui</w:t>
            </w:r>
            <w:r w:rsidR="00E92F6B">
              <w:rPr>
                <w:rFonts w:ascii="Arial" w:hAnsi="Arial" w:cs="Arial"/>
                <w:bCs/>
                <w:spacing w:val="2"/>
                <w:w w:val="103"/>
                <w:sz w:val="20"/>
                <w:szCs w:val="20"/>
              </w:rPr>
              <w:t xml:space="preserve">tment and Advertising Materials </w:t>
            </w:r>
            <w:r w:rsidR="00213E33" w:rsidRPr="00E92F6B">
              <w:rPr>
                <w:rFonts w:ascii="Arial" w:hAnsi="Arial" w:cs="Arial"/>
                <w:bCs/>
                <w:spacing w:val="2"/>
                <w:w w:val="103"/>
                <w:sz w:val="20"/>
                <w:szCs w:val="20"/>
              </w:rPr>
              <w:t>for Human Subjects in USF Health Clinic Waiting Areas</w:t>
            </w:r>
          </w:p>
          <w:p w14:paraId="0746C64D" w14:textId="01846137" w:rsidR="00213E33" w:rsidRPr="00311822" w:rsidRDefault="00311822" w:rsidP="00311822">
            <w:pPr>
              <w:shd w:val="clear" w:color="auto" w:fill="FFFFFF"/>
              <w:rPr>
                <w:rFonts w:ascii="Arial" w:hAnsi="Arial" w:cs="Arial"/>
                <w:bCs/>
                <w:spacing w:val="2"/>
                <w:w w:val="103"/>
                <w:sz w:val="20"/>
                <w:szCs w:val="20"/>
              </w:rPr>
            </w:pPr>
            <w:r>
              <w:rPr>
                <w:rFonts w:ascii="Arial" w:hAnsi="Arial" w:cs="Arial"/>
                <w:bCs/>
                <w:spacing w:val="2"/>
                <w:w w:val="103"/>
                <w:sz w:val="20"/>
                <w:szCs w:val="20"/>
              </w:rPr>
              <w:t>Appendix Y</w:t>
            </w:r>
            <w:r w:rsidR="00213E33" w:rsidRPr="00E92F6B">
              <w:rPr>
                <w:rFonts w:ascii="Arial" w:hAnsi="Arial" w:cs="Arial"/>
                <w:bCs/>
                <w:spacing w:val="2"/>
                <w:w w:val="103"/>
                <w:sz w:val="20"/>
                <w:szCs w:val="20"/>
              </w:rPr>
              <w:t>: Attestation Statement for Recruitment and Advertising Materials for Human Subjects in USF Health Clinic Waiting Areas</w:t>
            </w:r>
          </w:p>
        </w:tc>
      </w:tr>
      <w:tr w:rsidR="00920F4F" w:rsidRPr="004058B2" w14:paraId="0746C650" w14:textId="77777777" w:rsidTr="007F2CA1">
        <w:trPr>
          <w:trHeight w:val="322"/>
        </w:trPr>
        <w:tc>
          <w:tcPr>
            <w:tcW w:w="9558" w:type="dxa"/>
            <w:gridSpan w:val="2"/>
            <w:vAlign w:val="bottom"/>
          </w:tcPr>
          <w:p w14:paraId="0746C64F" w14:textId="77777777" w:rsidR="00920F4F" w:rsidRPr="004058B2" w:rsidRDefault="00920F4F" w:rsidP="00EE1D92">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Y="5295"/>
        <w:tblW w:w="9553" w:type="dxa"/>
        <w:tblLook w:val="04A0" w:firstRow="1" w:lastRow="0" w:firstColumn="1" w:lastColumn="0" w:noHBand="0" w:noVBand="1"/>
      </w:tblPr>
      <w:tblGrid>
        <w:gridCol w:w="3668"/>
        <w:gridCol w:w="2671"/>
        <w:gridCol w:w="3214"/>
      </w:tblGrid>
      <w:tr w:rsidR="001C77EC" w:rsidRPr="004058B2" w14:paraId="777CB721" w14:textId="77777777" w:rsidTr="001C77EC">
        <w:trPr>
          <w:trHeight w:val="350"/>
        </w:trPr>
        <w:tc>
          <w:tcPr>
            <w:tcW w:w="3668" w:type="dxa"/>
          </w:tcPr>
          <w:p w14:paraId="2F67426A" w14:textId="77777777" w:rsidR="001C77EC" w:rsidRPr="004058B2" w:rsidRDefault="001C77EC" w:rsidP="001C77EC">
            <w:pPr>
              <w:autoSpaceDE w:val="0"/>
              <w:autoSpaceDN w:val="0"/>
              <w:adjustRightInd w:val="0"/>
              <w:ind w:right="-20"/>
              <w:rPr>
                <w:rFonts w:ascii="Arial" w:hAnsi="Arial" w:cs="Arial"/>
                <w:b/>
              </w:rPr>
            </w:pPr>
            <w:r w:rsidRPr="004058B2">
              <w:rPr>
                <w:rFonts w:ascii="Arial" w:hAnsi="Arial" w:cs="Arial"/>
                <w:b/>
              </w:rPr>
              <w:t>Approval Date</w:t>
            </w:r>
          </w:p>
        </w:tc>
        <w:tc>
          <w:tcPr>
            <w:tcW w:w="2671" w:type="dxa"/>
          </w:tcPr>
          <w:p w14:paraId="276BA0D8" w14:textId="77777777" w:rsidR="001C77EC" w:rsidRPr="004058B2" w:rsidRDefault="001C77EC" w:rsidP="001C77EC">
            <w:pPr>
              <w:autoSpaceDE w:val="0"/>
              <w:autoSpaceDN w:val="0"/>
              <w:adjustRightInd w:val="0"/>
              <w:ind w:right="-20"/>
              <w:rPr>
                <w:rFonts w:ascii="Arial" w:hAnsi="Arial" w:cs="Arial"/>
                <w:b/>
              </w:rPr>
            </w:pPr>
            <w:r w:rsidRPr="004058B2">
              <w:rPr>
                <w:rFonts w:ascii="Arial" w:hAnsi="Arial" w:cs="Arial"/>
                <w:b/>
              </w:rPr>
              <w:t>Effective Date</w:t>
            </w:r>
          </w:p>
        </w:tc>
        <w:tc>
          <w:tcPr>
            <w:tcW w:w="3214" w:type="dxa"/>
          </w:tcPr>
          <w:p w14:paraId="67064B1E" w14:textId="77777777" w:rsidR="001C77EC" w:rsidRPr="004058B2" w:rsidRDefault="001C77EC" w:rsidP="001C77EC">
            <w:pPr>
              <w:autoSpaceDE w:val="0"/>
              <w:autoSpaceDN w:val="0"/>
              <w:adjustRightInd w:val="0"/>
              <w:ind w:right="-20"/>
              <w:rPr>
                <w:rFonts w:ascii="Arial" w:hAnsi="Arial" w:cs="Arial"/>
                <w:b/>
              </w:rPr>
            </w:pPr>
            <w:r w:rsidRPr="004058B2">
              <w:rPr>
                <w:rFonts w:ascii="Arial" w:hAnsi="Arial" w:cs="Arial"/>
                <w:b/>
              </w:rPr>
              <w:t>Review/Revision Date</w:t>
            </w:r>
          </w:p>
        </w:tc>
      </w:tr>
      <w:tr w:rsidR="001C77EC" w:rsidRPr="004058B2" w14:paraId="23C02480" w14:textId="77777777" w:rsidTr="001C77EC">
        <w:trPr>
          <w:trHeight w:val="260"/>
        </w:trPr>
        <w:tc>
          <w:tcPr>
            <w:tcW w:w="3668" w:type="dxa"/>
          </w:tcPr>
          <w:p w14:paraId="068A6926" w14:textId="77777777" w:rsidR="001C77EC" w:rsidRPr="004058B2" w:rsidRDefault="001C77EC" w:rsidP="001C77EC">
            <w:pPr>
              <w:autoSpaceDE w:val="0"/>
              <w:autoSpaceDN w:val="0"/>
              <w:adjustRightInd w:val="0"/>
              <w:ind w:right="-20"/>
              <w:rPr>
                <w:rFonts w:ascii="Arial" w:hAnsi="Arial" w:cs="Arial"/>
                <w:b/>
              </w:rPr>
            </w:pPr>
            <w:r>
              <w:rPr>
                <w:rFonts w:ascii="Arial" w:hAnsi="Arial" w:cs="Arial"/>
                <w:b/>
              </w:rPr>
              <w:t>01/01/2015</w:t>
            </w:r>
          </w:p>
        </w:tc>
        <w:tc>
          <w:tcPr>
            <w:tcW w:w="2671" w:type="dxa"/>
          </w:tcPr>
          <w:p w14:paraId="06F08989" w14:textId="04C6B13C" w:rsidR="001C77EC" w:rsidRPr="004058B2" w:rsidRDefault="001C77EC" w:rsidP="001C77EC">
            <w:pPr>
              <w:autoSpaceDE w:val="0"/>
              <w:autoSpaceDN w:val="0"/>
              <w:adjustRightInd w:val="0"/>
              <w:ind w:right="-20"/>
              <w:rPr>
                <w:rFonts w:ascii="Arial" w:hAnsi="Arial" w:cs="Arial"/>
                <w:b/>
              </w:rPr>
            </w:pPr>
            <w:r>
              <w:rPr>
                <w:rFonts w:ascii="Arial" w:hAnsi="Arial" w:cs="Arial"/>
                <w:b/>
              </w:rPr>
              <w:t>0</w:t>
            </w:r>
            <w:r>
              <w:rPr>
                <w:rFonts w:ascii="Arial" w:hAnsi="Arial" w:cs="Arial"/>
                <w:b/>
              </w:rPr>
              <w:t>6</w:t>
            </w:r>
            <w:r>
              <w:rPr>
                <w:rFonts w:ascii="Arial" w:hAnsi="Arial" w:cs="Arial"/>
                <w:b/>
              </w:rPr>
              <w:t>/01/2015</w:t>
            </w:r>
          </w:p>
        </w:tc>
        <w:tc>
          <w:tcPr>
            <w:tcW w:w="3214" w:type="dxa"/>
          </w:tcPr>
          <w:p w14:paraId="54D8FF1F" w14:textId="2874060C" w:rsidR="001C77EC" w:rsidRPr="004058B2" w:rsidRDefault="001C77EC" w:rsidP="001C77EC">
            <w:pPr>
              <w:autoSpaceDE w:val="0"/>
              <w:autoSpaceDN w:val="0"/>
              <w:adjustRightInd w:val="0"/>
              <w:ind w:right="-20"/>
              <w:rPr>
                <w:rFonts w:ascii="Arial" w:hAnsi="Arial" w:cs="Arial"/>
                <w:b/>
              </w:rPr>
            </w:pPr>
            <w:r>
              <w:rPr>
                <w:rFonts w:ascii="Arial" w:hAnsi="Arial" w:cs="Arial"/>
                <w:b/>
              </w:rPr>
              <w:t>06/01/2016</w:t>
            </w:r>
          </w:p>
        </w:tc>
      </w:tr>
    </w:tbl>
    <w:p w14:paraId="0746C663" w14:textId="77777777" w:rsidR="004D5448" w:rsidRDefault="004D5448" w:rsidP="004D5448">
      <w:pPr>
        <w:rPr>
          <w:rFonts w:ascii="Times New Roman" w:hAnsi="Times New Roman" w:cs="Times New Roman"/>
          <w:sz w:val="24"/>
          <w:szCs w:val="24"/>
        </w:rPr>
      </w:pPr>
    </w:p>
    <w:sectPr w:rsidR="004D5448" w:rsidSect="00311822">
      <w:headerReference w:type="default" r:id="rId11"/>
      <w:pgSz w:w="12240" w:h="15840"/>
      <w:pgMar w:top="1440" w:right="1440" w:bottom="864"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63EE6" w14:textId="77777777" w:rsidR="008521F7" w:rsidRDefault="008521F7" w:rsidP="00235C05">
      <w:pPr>
        <w:spacing w:after="0" w:line="240" w:lineRule="auto"/>
      </w:pPr>
      <w:r>
        <w:separator/>
      </w:r>
    </w:p>
  </w:endnote>
  <w:endnote w:type="continuationSeparator" w:id="0">
    <w:p w14:paraId="5A26D580" w14:textId="77777777" w:rsidR="008521F7" w:rsidRDefault="008521F7"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7B353" w14:textId="77777777" w:rsidR="008521F7" w:rsidRDefault="008521F7" w:rsidP="00235C05">
      <w:pPr>
        <w:spacing w:after="0" w:line="240" w:lineRule="auto"/>
      </w:pPr>
      <w:r>
        <w:separator/>
      </w:r>
    </w:p>
  </w:footnote>
  <w:footnote w:type="continuationSeparator" w:id="0">
    <w:p w14:paraId="090DC76B" w14:textId="77777777" w:rsidR="008521F7" w:rsidRDefault="008521F7"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E017F4" w14:paraId="20970967" w14:textId="77777777" w:rsidTr="000C0731">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3DE25B9E" w14:textId="77777777" w:rsidR="00E017F4" w:rsidRDefault="00E017F4" w:rsidP="000C0731">
          <w:pPr>
            <w:autoSpaceDE w:val="0"/>
            <w:autoSpaceDN w:val="0"/>
            <w:adjustRightInd w:val="0"/>
            <w:spacing w:before="4" w:after="0" w:line="240" w:lineRule="auto"/>
            <w:ind w:right="-20"/>
            <w:jc w:val="center"/>
            <w:rPr>
              <w:rFonts w:ascii="Arial" w:hAnsi="Arial" w:cs="Arial"/>
              <w:b/>
              <w:bCs/>
              <w:sz w:val="24"/>
              <w:szCs w:val="24"/>
            </w:rPr>
          </w:pPr>
        </w:p>
        <w:p w14:paraId="2FE1A2D4" w14:textId="77777777" w:rsidR="00E017F4" w:rsidRPr="0024352A" w:rsidRDefault="00E017F4" w:rsidP="000C0731">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7E305E1A" w14:textId="77777777" w:rsidR="00E017F4" w:rsidRDefault="00E017F4" w:rsidP="000C0731">
          <w:pPr>
            <w:autoSpaceDE w:val="0"/>
            <w:autoSpaceDN w:val="0"/>
            <w:adjustRightInd w:val="0"/>
            <w:spacing w:before="4" w:after="0" w:line="240" w:lineRule="auto"/>
            <w:ind w:right="-20"/>
            <w:jc w:val="center"/>
            <w:rPr>
              <w:rFonts w:ascii="Arial" w:hAnsi="Arial" w:cs="Arial"/>
              <w:b/>
              <w:bCs/>
            </w:rPr>
          </w:pPr>
        </w:p>
      </w:tc>
    </w:tr>
    <w:tr w:rsidR="00E017F4" w:rsidRPr="00132C6C" w14:paraId="1587AE6F" w14:textId="77777777" w:rsidTr="006D6C42">
      <w:trPr>
        <w:cantSplit/>
        <w:trHeight w:hRule="exact" w:val="124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5D5074EE" w14:textId="77777777" w:rsidR="00E017F4" w:rsidRPr="00F93A82" w:rsidRDefault="00E017F4" w:rsidP="000C0731">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08953C" wp14:editId="2651F497">
                <wp:extent cx="1019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72A2B75C" w14:textId="77777777" w:rsidR="00E017F4" w:rsidRPr="000526CA" w:rsidRDefault="00E017F4" w:rsidP="000C0731">
          <w:pPr>
            <w:autoSpaceDE w:val="0"/>
            <w:autoSpaceDN w:val="0"/>
            <w:adjustRightInd w:val="0"/>
            <w:spacing w:before="4" w:after="0" w:line="240" w:lineRule="auto"/>
            <w:ind w:right="-20"/>
            <w:jc w:val="center"/>
            <w:rPr>
              <w:rFonts w:ascii="Arial" w:hAnsi="Arial" w:cs="Arial"/>
              <w:b/>
              <w:bCs/>
              <w:highlight w:val="darkGreen"/>
            </w:rPr>
          </w:pPr>
        </w:p>
        <w:p w14:paraId="676129A6" w14:textId="372C48EF" w:rsidR="00E017F4" w:rsidRPr="00132C6C" w:rsidRDefault="00E017F4" w:rsidP="000C0731">
          <w:pPr>
            <w:autoSpaceDE w:val="0"/>
            <w:autoSpaceDN w:val="0"/>
            <w:adjustRightInd w:val="0"/>
            <w:spacing w:after="0" w:line="240" w:lineRule="auto"/>
            <w:ind w:right="-20"/>
            <w:jc w:val="center"/>
            <w:rPr>
              <w:rFonts w:ascii="Arial" w:hAnsi="Arial" w:cs="Arial"/>
              <w:sz w:val="28"/>
              <w:szCs w:val="28"/>
              <w:highlight w:val="darkGreen"/>
            </w:rPr>
          </w:pPr>
          <w:r w:rsidRPr="006D6C42">
            <w:rPr>
              <w:rFonts w:ascii="Arial" w:hAnsi="Arial" w:cs="Arial"/>
              <w:b/>
              <w:sz w:val="28"/>
              <w:szCs w:val="28"/>
            </w:rPr>
            <w:t xml:space="preserve">SUBJECT RECRUITMENT </w:t>
          </w:r>
        </w:p>
      </w:tc>
    </w:tr>
    <w:tr w:rsidR="00E017F4" w:rsidRPr="00851AE9" w14:paraId="28784C01" w14:textId="77777777" w:rsidTr="001C77EC">
      <w:trPr>
        <w:cantSplit/>
        <w:trHeight w:hRule="exact" w:val="45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3621C285" w14:textId="1E274636" w:rsidR="00E017F4" w:rsidRPr="00851AE9" w:rsidRDefault="00E017F4" w:rsidP="000C0731">
          <w:pPr>
            <w:autoSpaceDE w:val="0"/>
            <w:autoSpaceDN w:val="0"/>
            <w:adjustRightInd w:val="0"/>
            <w:spacing w:after="0" w:line="240" w:lineRule="auto"/>
            <w:ind w:left="95" w:right="-20"/>
            <w:jc w:val="center"/>
            <w:rPr>
              <w:rFonts w:ascii="Arial" w:hAnsi="Arial" w:cs="Arial"/>
              <w:b/>
            </w:rPr>
          </w:pPr>
          <w:r>
            <w:rPr>
              <w:rFonts w:ascii="Arial" w:hAnsi="Arial" w:cs="Arial"/>
              <w:b/>
            </w:rPr>
            <w:t>SOP#: 401</w:t>
          </w:r>
        </w:p>
      </w:tc>
      <w:tc>
        <w:tcPr>
          <w:tcW w:w="1626" w:type="pct"/>
          <w:tcBorders>
            <w:top w:val="single" w:sz="12" w:space="0" w:color="000000"/>
            <w:left w:val="single" w:sz="12" w:space="0" w:color="000000"/>
            <w:bottom w:val="single" w:sz="12" w:space="0" w:color="000000"/>
            <w:right w:val="single" w:sz="4" w:space="0" w:color="auto"/>
          </w:tcBorders>
          <w:vAlign w:val="bottom"/>
        </w:tcPr>
        <w:p w14:paraId="4830327F" w14:textId="4EF9881F" w:rsidR="006D6C42" w:rsidRPr="00851AE9" w:rsidRDefault="00E017F4" w:rsidP="001C77EC">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1C77EC">
            <w:rPr>
              <w:rFonts w:ascii="Arial" w:hAnsi="Arial" w:cs="Arial"/>
              <w:b/>
              <w:spacing w:val="2"/>
            </w:rPr>
            <w:t>06/01/2016</w:t>
          </w:r>
        </w:p>
      </w:tc>
      <w:tc>
        <w:tcPr>
          <w:tcW w:w="1187" w:type="pct"/>
          <w:tcBorders>
            <w:top w:val="single" w:sz="12" w:space="0" w:color="000000"/>
            <w:left w:val="single" w:sz="4" w:space="0" w:color="auto"/>
            <w:bottom w:val="single" w:sz="12" w:space="0" w:color="000000"/>
            <w:right w:val="single" w:sz="12" w:space="0" w:color="000000"/>
          </w:tcBorders>
          <w:vAlign w:val="bottom"/>
        </w:tcPr>
        <w:p w14:paraId="7C0E053B" w14:textId="77777777" w:rsidR="00E017F4" w:rsidRPr="00851AE9" w:rsidRDefault="00E017F4" w:rsidP="000C0731">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40EB9322" w14:textId="77777777" w:rsidR="00E017F4" w:rsidRPr="00851AE9" w:rsidRDefault="00E017F4" w:rsidP="000C0731">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1C77EC">
            <w:rPr>
              <w:rFonts w:ascii="Arial" w:hAnsi="Arial" w:cs="Arial"/>
              <w:b/>
              <w:bCs/>
              <w:noProof/>
              <w:spacing w:val="2"/>
            </w:rPr>
            <w:t>4</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1C77EC">
            <w:rPr>
              <w:rFonts w:ascii="Arial" w:hAnsi="Arial" w:cs="Arial"/>
              <w:b/>
              <w:bCs/>
              <w:noProof/>
              <w:spacing w:val="2"/>
            </w:rPr>
            <w:t>5</w:t>
          </w:r>
          <w:r w:rsidRPr="00362E2F">
            <w:rPr>
              <w:rFonts w:ascii="Arial" w:hAnsi="Arial" w:cs="Arial"/>
              <w:b/>
              <w:bCs/>
              <w:spacing w:val="2"/>
            </w:rPr>
            <w:fldChar w:fldCharType="end"/>
          </w:r>
        </w:p>
      </w:tc>
    </w:tr>
  </w:tbl>
  <w:p w14:paraId="0746C67A" w14:textId="7D5D103A" w:rsidR="00E017F4" w:rsidRDefault="00E0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BB0"/>
    <w:multiLevelType w:val="multilevel"/>
    <w:tmpl w:val="B8761ABA"/>
    <w:lvl w:ilvl="0">
      <w:start w:val="3"/>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8BB31A2"/>
    <w:multiLevelType w:val="multilevel"/>
    <w:tmpl w:val="B672AF70"/>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F51C6D"/>
    <w:multiLevelType w:val="multilevel"/>
    <w:tmpl w:val="7AF697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D6481F"/>
    <w:multiLevelType w:val="multilevel"/>
    <w:tmpl w:val="2F4CEC3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217AF"/>
    <w:multiLevelType w:val="multilevel"/>
    <w:tmpl w:val="CDA0F0B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3DA05E57"/>
    <w:multiLevelType w:val="hybridMultilevel"/>
    <w:tmpl w:val="081EC7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CC74274"/>
    <w:multiLevelType w:val="hybridMultilevel"/>
    <w:tmpl w:val="46128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6389B"/>
    <w:multiLevelType w:val="multilevel"/>
    <w:tmpl w:val="AB70820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4B0536"/>
    <w:multiLevelType w:val="hybridMultilevel"/>
    <w:tmpl w:val="D3EA65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A200170"/>
    <w:multiLevelType w:val="multilevel"/>
    <w:tmpl w:val="8378083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FA2C1C"/>
    <w:multiLevelType w:val="multilevel"/>
    <w:tmpl w:val="EE94694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6"/>
  </w:num>
  <w:num w:numId="4">
    <w:abstractNumId w:val="5"/>
  </w:num>
  <w:num w:numId="5">
    <w:abstractNumId w:val="10"/>
  </w:num>
  <w:num w:numId="6">
    <w:abstractNumId w:val="1"/>
  </w:num>
  <w:num w:numId="7">
    <w:abstractNumId w:val="2"/>
  </w:num>
  <w:num w:numId="8">
    <w:abstractNumId w:val="0"/>
  </w:num>
  <w:num w:numId="9">
    <w:abstractNumId w:val="3"/>
  </w:num>
  <w:num w:numId="10">
    <w:abstractNumId w:val="9"/>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14302"/>
    <w:rsid w:val="0002149C"/>
    <w:rsid w:val="00023DA7"/>
    <w:rsid w:val="00026FC0"/>
    <w:rsid w:val="00031A40"/>
    <w:rsid w:val="00032A62"/>
    <w:rsid w:val="0003698D"/>
    <w:rsid w:val="00036FC5"/>
    <w:rsid w:val="000446A9"/>
    <w:rsid w:val="00044961"/>
    <w:rsid w:val="0005314C"/>
    <w:rsid w:val="00055199"/>
    <w:rsid w:val="00056156"/>
    <w:rsid w:val="00061528"/>
    <w:rsid w:val="00064CFE"/>
    <w:rsid w:val="00070B46"/>
    <w:rsid w:val="000857BA"/>
    <w:rsid w:val="00085DF3"/>
    <w:rsid w:val="00093C26"/>
    <w:rsid w:val="00094CA1"/>
    <w:rsid w:val="000A4391"/>
    <w:rsid w:val="000B5164"/>
    <w:rsid w:val="000B5D67"/>
    <w:rsid w:val="000B7E9D"/>
    <w:rsid w:val="000C0731"/>
    <w:rsid w:val="000C6F5D"/>
    <w:rsid w:val="000D44E8"/>
    <w:rsid w:val="000D5742"/>
    <w:rsid w:val="000E0857"/>
    <w:rsid w:val="000E270B"/>
    <w:rsid w:val="000E2C26"/>
    <w:rsid w:val="000E3878"/>
    <w:rsid w:val="000F2864"/>
    <w:rsid w:val="00102EC5"/>
    <w:rsid w:val="001042A3"/>
    <w:rsid w:val="00107D02"/>
    <w:rsid w:val="001111D1"/>
    <w:rsid w:val="00134B81"/>
    <w:rsid w:val="00146156"/>
    <w:rsid w:val="001520D8"/>
    <w:rsid w:val="00154CFC"/>
    <w:rsid w:val="00167904"/>
    <w:rsid w:val="001720CE"/>
    <w:rsid w:val="001733FC"/>
    <w:rsid w:val="00176FD8"/>
    <w:rsid w:val="001770AE"/>
    <w:rsid w:val="00177F5E"/>
    <w:rsid w:val="00182551"/>
    <w:rsid w:val="00186EE7"/>
    <w:rsid w:val="001923A2"/>
    <w:rsid w:val="001932C3"/>
    <w:rsid w:val="0019659A"/>
    <w:rsid w:val="001A559D"/>
    <w:rsid w:val="001B0AFE"/>
    <w:rsid w:val="001B6A33"/>
    <w:rsid w:val="001C122A"/>
    <w:rsid w:val="001C4689"/>
    <w:rsid w:val="001C5268"/>
    <w:rsid w:val="001C77EC"/>
    <w:rsid w:val="001D2F63"/>
    <w:rsid w:val="001D4893"/>
    <w:rsid w:val="001D5499"/>
    <w:rsid w:val="001D5E87"/>
    <w:rsid w:val="001E325C"/>
    <w:rsid w:val="001E458A"/>
    <w:rsid w:val="001F007B"/>
    <w:rsid w:val="001F04A6"/>
    <w:rsid w:val="001F6671"/>
    <w:rsid w:val="001F7006"/>
    <w:rsid w:val="002000D6"/>
    <w:rsid w:val="002010F4"/>
    <w:rsid w:val="00203EFC"/>
    <w:rsid w:val="00204BF3"/>
    <w:rsid w:val="00207535"/>
    <w:rsid w:val="0021392B"/>
    <w:rsid w:val="00213E33"/>
    <w:rsid w:val="002140A2"/>
    <w:rsid w:val="00214949"/>
    <w:rsid w:val="00223926"/>
    <w:rsid w:val="00226965"/>
    <w:rsid w:val="00235C05"/>
    <w:rsid w:val="00237202"/>
    <w:rsid w:val="00243470"/>
    <w:rsid w:val="0024352A"/>
    <w:rsid w:val="00246E13"/>
    <w:rsid w:val="002524AF"/>
    <w:rsid w:val="002560D3"/>
    <w:rsid w:val="00263ABF"/>
    <w:rsid w:val="00265C49"/>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49E6"/>
    <w:rsid w:val="002A5192"/>
    <w:rsid w:val="002A6CC8"/>
    <w:rsid w:val="002C6C9F"/>
    <w:rsid w:val="002C7F10"/>
    <w:rsid w:val="002D269C"/>
    <w:rsid w:val="002D3B18"/>
    <w:rsid w:val="002D6816"/>
    <w:rsid w:val="002D6B09"/>
    <w:rsid w:val="002F4BCF"/>
    <w:rsid w:val="002F633D"/>
    <w:rsid w:val="002F72AC"/>
    <w:rsid w:val="0030363E"/>
    <w:rsid w:val="00305876"/>
    <w:rsid w:val="00311822"/>
    <w:rsid w:val="00317F00"/>
    <w:rsid w:val="00320E06"/>
    <w:rsid w:val="00325E5A"/>
    <w:rsid w:val="003268EF"/>
    <w:rsid w:val="0032712D"/>
    <w:rsid w:val="00330B74"/>
    <w:rsid w:val="003315FB"/>
    <w:rsid w:val="00334FAA"/>
    <w:rsid w:val="00344124"/>
    <w:rsid w:val="00344306"/>
    <w:rsid w:val="00345B2E"/>
    <w:rsid w:val="00351C11"/>
    <w:rsid w:val="00352D49"/>
    <w:rsid w:val="00353904"/>
    <w:rsid w:val="00354EEA"/>
    <w:rsid w:val="00355088"/>
    <w:rsid w:val="00356D09"/>
    <w:rsid w:val="0036273E"/>
    <w:rsid w:val="00367B75"/>
    <w:rsid w:val="00377489"/>
    <w:rsid w:val="00387390"/>
    <w:rsid w:val="0038774F"/>
    <w:rsid w:val="00395AFA"/>
    <w:rsid w:val="0039770E"/>
    <w:rsid w:val="003A21C9"/>
    <w:rsid w:val="003A4B2D"/>
    <w:rsid w:val="003B3F0B"/>
    <w:rsid w:val="003B4D0C"/>
    <w:rsid w:val="003C07E3"/>
    <w:rsid w:val="003C7253"/>
    <w:rsid w:val="003C79C0"/>
    <w:rsid w:val="003D0D16"/>
    <w:rsid w:val="003E4775"/>
    <w:rsid w:val="003E4A2B"/>
    <w:rsid w:val="003E538C"/>
    <w:rsid w:val="003F6A8D"/>
    <w:rsid w:val="003F7227"/>
    <w:rsid w:val="0040140B"/>
    <w:rsid w:val="0040202F"/>
    <w:rsid w:val="00405250"/>
    <w:rsid w:val="004058B2"/>
    <w:rsid w:val="0040710D"/>
    <w:rsid w:val="0041122D"/>
    <w:rsid w:val="00411CCD"/>
    <w:rsid w:val="00411EA4"/>
    <w:rsid w:val="00413042"/>
    <w:rsid w:val="0041391A"/>
    <w:rsid w:val="00415CB1"/>
    <w:rsid w:val="00425D2E"/>
    <w:rsid w:val="004355AD"/>
    <w:rsid w:val="00435926"/>
    <w:rsid w:val="0043621C"/>
    <w:rsid w:val="00443720"/>
    <w:rsid w:val="00451174"/>
    <w:rsid w:val="00455E01"/>
    <w:rsid w:val="00455F42"/>
    <w:rsid w:val="004720D2"/>
    <w:rsid w:val="004856F0"/>
    <w:rsid w:val="00490626"/>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7913"/>
    <w:rsid w:val="004F3272"/>
    <w:rsid w:val="00501701"/>
    <w:rsid w:val="00511FEB"/>
    <w:rsid w:val="00512160"/>
    <w:rsid w:val="00514483"/>
    <w:rsid w:val="00522EDB"/>
    <w:rsid w:val="005238A1"/>
    <w:rsid w:val="005252AD"/>
    <w:rsid w:val="00531F23"/>
    <w:rsid w:val="0053214B"/>
    <w:rsid w:val="00536476"/>
    <w:rsid w:val="00542B31"/>
    <w:rsid w:val="00545545"/>
    <w:rsid w:val="00545DCF"/>
    <w:rsid w:val="005502AE"/>
    <w:rsid w:val="005557E2"/>
    <w:rsid w:val="0055714C"/>
    <w:rsid w:val="005603DC"/>
    <w:rsid w:val="00560777"/>
    <w:rsid w:val="0056087E"/>
    <w:rsid w:val="005612C1"/>
    <w:rsid w:val="00565270"/>
    <w:rsid w:val="00565E68"/>
    <w:rsid w:val="00566907"/>
    <w:rsid w:val="00567CDE"/>
    <w:rsid w:val="005714DB"/>
    <w:rsid w:val="005755FC"/>
    <w:rsid w:val="00576208"/>
    <w:rsid w:val="00580C40"/>
    <w:rsid w:val="00582CCF"/>
    <w:rsid w:val="00585608"/>
    <w:rsid w:val="00586A00"/>
    <w:rsid w:val="005878D1"/>
    <w:rsid w:val="005914F2"/>
    <w:rsid w:val="005925EB"/>
    <w:rsid w:val="0059397E"/>
    <w:rsid w:val="005A0597"/>
    <w:rsid w:val="005A16A4"/>
    <w:rsid w:val="005A2471"/>
    <w:rsid w:val="005B046A"/>
    <w:rsid w:val="005B44EE"/>
    <w:rsid w:val="005C1938"/>
    <w:rsid w:val="005C419D"/>
    <w:rsid w:val="005C4C1D"/>
    <w:rsid w:val="005C595E"/>
    <w:rsid w:val="005D1D42"/>
    <w:rsid w:val="005E00A5"/>
    <w:rsid w:val="005F5DA8"/>
    <w:rsid w:val="00600DC9"/>
    <w:rsid w:val="00602597"/>
    <w:rsid w:val="00603174"/>
    <w:rsid w:val="00613895"/>
    <w:rsid w:val="006143EE"/>
    <w:rsid w:val="006152D9"/>
    <w:rsid w:val="006157D3"/>
    <w:rsid w:val="0061643E"/>
    <w:rsid w:val="00616FA7"/>
    <w:rsid w:val="006229A6"/>
    <w:rsid w:val="00624CCF"/>
    <w:rsid w:val="006253BD"/>
    <w:rsid w:val="0064288D"/>
    <w:rsid w:val="006514EB"/>
    <w:rsid w:val="00661DDD"/>
    <w:rsid w:val="00663CD7"/>
    <w:rsid w:val="00666763"/>
    <w:rsid w:val="00673DC4"/>
    <w:rsid w:val="00680CDD"/>
    <w:rsid w:val="0068196E"/>
    <w:rsid w:val="006846E7"/>
    <w:rsid w:val="00692823"/>
    <w:rsid w:val="006A0333"/>
    <w:rsid w:val="006A5C20"/>
    <w:rsid w:val="006B3800"/>
    <w:rsid w:val="006C2AA1"/>
    <w:rsid w:val="006D6445"/>
    <w:rsid w:val="006D6C42"/>
    <w:rsid w:val="006D78F8"/>
    <w:rsid w:val="006E1419"/>
    <w:rsid w:val="006E294E"/>
    <w:rsid w:val="006E3693"/>
    <w:rsid w:val="006E4517"/>
    <w:rsid w:val="006E7423"/>
    <w:rsid w:val="006F2480"/>
    <w:rsid w:val="006F758E"/>
    <w:rsid w:val="0070415C"/>
    <w:rsid w:val="0070568F"/>
    <w:rsid w:val="00706232"/>
    <w:rsid w:val="00706B71"/>
    <w:rsid w:val="00716100"/>
    <w:rsid w:val="00717C7E"/>
    <w:rsid w:val="00717DFA"/>
    <w:rsid w:val="007237B6"/>
    <w:rsid w:val="00726587"/>
    <w:rsid w:val="0072669E"/>
    <w:rsid w:val="0073473E"/>
    <w:rsid w:val="00735290"/>
    <w:rsid w:val="0073634D"/>
    <w:rsid w:val="00742E6F"/>
    <w:rsid w:val="00744F0C"/>
    <w:rsid w:val="00753101"/>
    <w:rsid w:val="00754CAB"/>
    <w:rsid w:val="00755C18"/>
    <w:rsid w:val="00761BD0"/>
    <w:rsid w:val="00761DDC"/>
    <w:rsid w:val="0076345E"/>
    <w:rsid w:val="00764878"/>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B7572"/>
    <w:rsid w:val="007C3EB2"/>
    <w:rsid w:val="007D7961"/>
    <w:rsid w:val="007E25DD"/>
    <w:rsid w:val="007E34B2"/>
    <w:rsid w:val="007E5820"/>
    <w:rsid w:val="007E698F"/>
    <w:rsid w:val="007F2CA1"/>
    <w:rsid w:val="007F38F2"/>
    <w:rsid w:val="007F3E40"/>
    <w:rsid w:val="008041A5"/>
    <w:rsid w:val="008044BF"/>
    <w:rsid w:val="0081231C"/>
    <w:rsid w:val="008151C8"/>
    <w:rsid w:val="008165A8"/>
    <w:rsid w:val="008178A7"/>
    <w:rsid w:val="0082358C"/>
    <w:rsid w:val="00824B1A"/>
    <w:rsid w:val="00830DCD"/>
    <w:rsid w:val="008315F9"/>
    <w:rsid w:val="00831F54"/>
    <w:rsid w:val="0084237E"/>
    <w:rsid w:val="00843269"/>
    <w:rsid w:val="00847B4C"/>
    <w:rsid w:val="008521F7"/>
    <w:rsid w:val="0085515C"/>
    <w:rsid w:val="008617E8"/>
    <w:rsid w:val="0086375A"/>
    <w:rsid w:val="00875760"/>
    <w:rsid w:val="008A1B2D"/>
    <w:rsid w:val="008A2257"/>
    <w:rsid w:val="008A6F7F"/>
    <w:rsid w:val="008A7300"/>
    <w:rsid w:val="008B10FA"/>
    <w:rsid w:val="008B34F0"/>
    <w:rsid w:val="008C02DC"/>
    <w:rsid w:val="008C727D"/>
    <w:rsid w:val="008D0717"/>
    <w:rsid w:val="008D2D60"/>
    <w:rsid w:val="008D5832"/>
    <w:rsid w:val="008E51E7"/>
    <w:rsid w:val="008F301F"/>
    <w:rsid w:val="00905384"/>
    <w:rsid w:val="00907B09"/>
    <w:rsid w:val="00910BFF"/>
    <w:rsid w:val="00920F4F"/>
    <w:rsid w:val="00924DF5"/>
    <w:rsid w:val="00925F71"/>
    <w:rsid w:val="009273D2"/>
    <w:rsid w:val="009320BA"/>
    <w:rsid w:val="00935B42"/>
    <w:rsid w:val="00941872"/>
    <w:rsid w:val="00941A31"/>
    <w:rsid w:val="00942682"/>
    <w:rsid w:val="00942FFC"/>
    <w:rsid w:val="00953A88"/>
    <w:rsid w:val="00954598"/>
    <w:rsid w:val="00957B03"/>
    <w:rsid w:val="00963C7C"/>
    <w:rsid w:val="00965496"/>
    <w:rsid w:val="00974E8F"/>
    <w:rsid w:val="009753B1"/>
    <w:rsid w:val="00977587"/>
    <w:rsid w:val="009836D5"/>
    <w:rsid w:val="00987B5F"/>
    <w:rsid w:val="00990C26"/>
    <w:rsid w:val="00991648"/>
    <w:rsid w:val="00994C5C"/>
    <w:rsid w:val="009A1B12"/>
    <w:rsid w:val="009A2988"/>
    <w:rsid w:val="009A4AC3"/>
    <w:rsid w:val="009B0611"/>
    <w:rsid w:val="009B1535"/>
    <w:rsid w:val="009C1A28"/>
    <w:rsid w:val="009C58F5"/>
    <w:rsid w:val="009C63C1"/>
    <w:rsid w:val="009D107F"/>
    <w:rsid w:val="009E1045"/>
    <w:rsid w:val="009E5E78"/>
    <w:rsid w:val="009E7251"/>
    <w:rsid w:val="009E7699"/>
    <w:rsid w:val="009F2988"/>
    <w:rsid w:val="009F42E5"/>
    <w:rsid w:val="00A0227A"/>
    <w:rsid w:val="00A0346A"/>
    <w:rsid w:val="00A071E2"/>
    <w:rsid w:val="00A07851"/>
    <w:rsid w:val="00A123F8"/>
    <w:rsid w:val="00A12D89"/>
    <w:rsid w:val="00A150E9"/>
    <w:rsid w:val="00A27C05"/>
    <w:rsid w:val="00A32ECE"/>
    <w:rsid w:val="00A33DC7"/>
    <w:rsid w:val="00A350E1"/>
    <w:rsid w:val="00A4210D"/>
    <w:rsid w:val="00A428D4"/>
    <w:rsid w:val="00A45ED3"/>
    <w:rsid w:val="00A500AA"/>
    <w:rsid w:val="00A562B7"/>
    <w:rsid w:val="00A60046"/>
    <w:rsid w:val="00A63715"/>
    <w:rsid w:val="00A677EF"/>
    <w:rsid w:val="00A71697"/>
    <w:rsid w:val="00A71D05"/>
    <w:rsid w:val="00A740C4"/>
    <w:rsid w:val="00A83B75"/>
    <w:rsid w:val="00A86145"/>
    <w:rsid w:val="00A901F2"/>
    <w:rsid w:val="00A905C8"/>
    <w:rsid w:val="00A94443"/>
    <w:rsid w:val="00A94E17"/>
    <w:rsid w:val="00A96EA6"/>
    <w:rsid w:val="00A97286"/>
    <w:rsid w:val="00AA37FB"/>
    <w:rsid w:val="00AA4C50"/>
    <w:rsid w:val="00AA51DE"/>
    <w:rsid w:val="00AB02C7"/>
    <w:rsid w:val="00AB055E"/>
    <w:rsid w:val="00AB1EC3"/>
    <w:rsid w:val="00AC215B"/>
    <w:rsid w:val="00AC29B9"/>
    <w:rsid w:val="00AD1893"/>
    <w:rsid w:val="00AD1D40"/>
    <w:rsid w:val="00AD474A"/>
    <w:rsid w:val="00AD5318"/>
    <w:rsid w:val="00AD6DBD"/>
    <w:rsid w:val="00AE685A"/>
    <w:rsid w:val="00AE7C49"/>
    <w:rsid w:val="00AF0A8F"/>
    <w:rsid w:val="00AF3DCF"/>
    <w:rsid w:val="00AF504F"/>
    <w:rsid w:val="00B04E45"/>
    <w:rsid w:val="00B0689D"/>
    <w:rsid w:val="00B078F9"/>
    <w:rsid w:val="00B117E8"/>
    <w:rsid w:val="00B204C5"/>
    <w:rsid w:val="00B30C24"/>
    <w:rsid w:val="00B30E32"/>
    <w:rsid w:val="00B34474"/>
    <w:rsid w:val="00B42E7B"/>
    <w:rsid w:val="00B44802"/>
    <w:rsid w:val="00B47644"/>
    <w:rsid w:val="00B47F15"/>
    <w:rsid w:val="00B502AA"/>
    <w:rsid w:val="00B537D9"/>
    <w:rsid w:val="00B55B46"/>
    <w:rsid w:val="00B56F80"/>
    <w:rsid w:val="00B61110"/>
    <w:rsid w:val="00B6146A"/>
    <w:rsid w:val="00B634B3"/>
    <w:rsid w:val="00B65278"/>
    <w:rsid w:val="00B741CD"/>
    <w:rsid w:val="00B755C7"/>
    <w:rsid w:val="00B83AEB"/>
    <w:rsid w:val="00B83D0A"/>
    <w:rsid w:val="00B84E28"/>
    <w:rsid w:val="00B94842"/>
    <w:rsid w:val="00B95146"/>
    <w:rsid w:val="00BA1604"/>
    <w:rsid w:val="00BA5FC0"/>
    <w:rsid w:val="00BA682B"/>
    <w:rsid w:val="00BB0361"/>
    <w:rsid w:val="00BB0466"/>
    <w:rsid w:val="00BB0D4E"/>
    <w:rsid w:val="00BB5732"/>
    <w:rsid w:val="00BB7989"/>
    <w:rsid w:val="00BC022A"/>
    <w:rsid w:val="00BC294E"/>
    <w:rsid w:val="00BD27B0"/>
    <w:rsid w:val="00BD2D08"/>
    <w:rsid w:val="00BD7A7D"/>
    <w:rsid w:val="00BE1A41"/>
    <w:rsid w:val="00BE24DF"/>
    <w:rsid w:val="00BF0B8D"/>
    <w:rsid w:val="00BF12E5"/>
    <w:rsid w:val="00BF3B8E"/>
    <w:rsid w:val="00BF54E1"/>
    <w:rsid w:val="00BF7880"/>
    <w:rsid w:val="00C0122A"/>
    <w:rsid w:val="00C036CE"/>
    <w:rsid w:val="00C04288"/>
    <w:rsid w:val="00C130E4"/>
    <w:rsid w:val="00C16F4A"/>
    <w:rsid w:val="00C27094"/>
    <w:rsid w:val="00C318E5"/>
    <w:rsid w:val="00C4461C"/>
    <w:rsid w:val="00C52F42"/>
    <w:rsid w:val="00C56477"/>
    <w:rsid w:val="00C56705"/>
    <w:rsid w:val="00C57C7F"/>
    <w:rsid w:val="00C61255"/>
    <w:rsid w:val="00C62D32"/>
    <w:rsid w:val="00C63821"/>
    <w:rsid w:val="00C65F03"/>
    <w:rsid w:val="00C77D1A"/>
    <w:rsid w:val="00C809D0"/>
    <w:rsid w:val="00C82E3A"/>
    <w:rsid w:val="00C83BF7"/>
    <w:rsid w:val="00C91E2E"/>
    <w:rsid w:val="00C92217"/>
    <w:rsid w:val="00C95D11"/>
    <w:rsid w:val="00CA0763"/>
    <w:rsid w:val="00CA1B05"/>
    <w:rsid w:val="00CA6453"/>
    <w:rsid w:val="00CA6DEA"/>
    <w:rsid w:val="00CB0A24"/>
    <w:rsid w:val="00CB2BA6"/>
    <w:rsid w:val="00CB7BCA"/>
    <w:rsid w:val="00CC122D"/>
    <w:rsid w:val="00CC2CAD"/>
    <w:rsid w:val="00CD442A"/>
    <w:rsid w:val="00CD6BDE"/>
    <w:rsid w:val="00CE20FD"/>
    <w:rsid w:val="00CE22B5"/>
    <w:rsid w:val="00CE5178"/>
    <w:rsid w:val="00CF09EF"/>
    <w:rsid w:val="00CF121F"/>
    <w:rsid w:val="00CF181D"/>
    <w:rsid w:val="00CF68B1"/>
    <w:rsid w:val="00D0216B"/>
    <w:rsid w:val="00D064CE"/>
    <w:rsid w:val="00D07E05"/>
    <w:rsid w:val="00D13060"/>
    <w:rsid w:val="00D14D39"/>
    <w:rsid w:val="00D229BE"/>
    <w:rsid w:val="00D263F6"/>
    <w:rsid w:val="00D26FF1"/>
    <w:rsid w:val="00D342C1"/>
    <w:rsid w:val="00D350AB"/>
    <w:rsid w:val="00D37089"/>
    <w:rsid w:val="00D409ED"/>
    <w:rsid w:val="00D4641A"/>
    <w:rsid w:val="00D46A1C"/>
    <w:rsid w:val="00D543BE"/>
    <w:rsid w:val="00D54A31"/>
    <w:rsid w:val="00D60451"/>
    <w:rsid w:val="00D66648"/>
    <w:rsid w:val="00D67AEC"/>
    <w:rsid w:val="00D718ED"/>
    <w:rsid w:val="00D766E2"/>
    <w:rsid w:val="00D769EC"/>
    <w:rsid w:val="00D778F2"/>
    <w:rsid w:val="00D81C28"/>
    <w:rsid w:val="00D91CD9"/>
    <w:rsid w:val="00D91D63"/>
    <w:rsid w:val="00D94DBB"/>
    <w:rsid w:val="00D9517C"/>
    <w:rsid w:val="00D97030"/>
    <w:rsid w:val="00DA2F90"/>
    <w:rsid w:val="00DD0A13"/>
    <w:rsid w:val="00DD6341"/>
    <w:rsid w:val="00DE2CCD"/>
    <w:rsid w:val="00DE56AA"/>
    <w:rsid w:val="00DF5E44"/>
    <w:rsid w:val="00DF6AC3"/>
    <w:rsid w:val="00E017F4"/>
    <w:rsid w:val="00E07CCF"/>
    <w:rsid w:val="00E14AB9"/>
    <w:rsid w:val="00E229D2"/>
    <w:rsid w:val="00E25B7C"/>
    <w:rsid w:val="00E34DA4"/>
    <w:rsid w:val="00E37CE0"/>
    <w:rsid w:val="00E41117"/>
    <w:rsid w:val="00E44494"/>
    <w:rsid w:val="00E565D9"/>
    <w:rsid w:val="00E571A4"/>
    <w:rsid w:val="00E61154"/>
    <w:rsid w:val="00E6258F"/>
    <w:rsid w:val="00E64B23"/>
    <w:rsid w:val="00E6704C"/>
    <w:rsid w:val="00E67F16"/>
    <w:rsid w:val="00E816DF"/>
    <w:rsid w:val="00E82208"/>
    <w:rsid w:val="00E83C5E"/>
    <w:rsid w:val="00E84AB0"/>
    <w:rsid w:val="00E86C3E"/>
    <w:rsid w:val="00E87F95"/>
    <w:rsid w:val="00E9086C"/>
    <w:rsid w:val="00E92F6B"/>
    <w:rsid w:val="00E94FCF"/>
    <w:rsid w:val="00EC0B78"/>
    <w:rsid w:val="00EC3D97"/>
    <w:rsid w:val="00EC5FC4"/>
    <w:rsid w:val="00ED2926"/>
    <w:rsid w:val="00ED40C5"/>
    <w:rsid w:val="00ED6028"/>
    <w:rsid w:val="00ED7E3A"/>
    <w:rsid w:val="00EE0B27"/>
    <w:rsid w:val="00EE1D92"/>
    <w:rsid w:val="00EE5C63"/>
    <w:rsid w:val="00EE6308"/>
    <w:rsid w:val="00EF00DF"/>
    <w:rsid w:val="00EF2F56"/>
    <w:rsid w:val="00EF5013"/>
    <w:rsid w:val="00EF7644"/>
    <w:rsid w:val="00F00C2F"/>
    <w:rsid w:val="00F00E8B"/>
    <w:rsid w:val="00F0368F"/>
    <w:rsid w:val="00F05D5D"/>
    <w:rsid w:val="00F0602E"/>
    <w:rsid w:val="00F07203"/>
    <w:rsid w:val="00F11A51"/>
    <w:rsid w:val="00F179C5"/>
    <w:rsid w:val="00F22307"/>
    <w:rsid w:val="00F22BAA"/>
    <w:rsid w:val="00F2458A"/>
    <w:rsid w:val="00F24720"/>
    <w:rsid w:val="00F25773"/>
    <w:rsid w:val="00F377BF"/>
    <w:rsid w:val="00F4102B"/>
    <w:rsid w:val="00F51485"/>
    <w:rsid w:val="00F515CD"/>
    <w:rsid w:val="00F5190C"/>
    <w:rsid w:val="00F56084"/>
    <w:rsid w:val="00F61708"/>
    <w:rsid w:val="00F63FE5"/>
    <w:rsid w:val="00F64156"/>
    <w:rsid w:val="00F649F1"/>
    <w:rsid w:val="00F67F73"/>
    <w:rsid w:val="00F728F3"/>
    <w:rsid w:val="00F804B3"/>
    <w:rsid w:val="00F82720"/>
    <w:rsid w:val="00F841CB"/>
    <w:rsid w:val="00F90265"/>
    <w:rsid w:val="00F93A82"/>
    <w:rsid w:val="00F940AC"/>
    <w:rsid w:val="00FA05DC"/>
    <w:rsid w:val="00FA1248"/>
    <w:rsid w:val="00FA14A6"/>
    <w:rsid w:val="00FA4044"/>
    <w:rsid w:val="00FA6586"/>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6C5FE"/>
  <w15:docId w15:val="{FA22B9DB-90E1-4FA1-8F76-E0850258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character" w:styleId="CommentReference">
    <w:name w:val="annotation reference"/>
    <w:basedOn w:val="DefaultParagraphFont"/>
    <w:uiPriority w:val="99"/>
    <w:semiHidden/>
    <w:unhideWhenUsed/>
    <w:rsid w:val="00203EFC"/>
    <w:rPr>
      <w:sz w:val="16"/>
      <w:szCs w:val="16"/>
    </w:rPr>
  </w:style>
  <w:style w:type="paragraph" w:styleId="CommentText">
    <w:name w:val="annotation text"/>
    <w:basedOn w:val="Normal"/>
    <w:link w:val="CommentTextChar"/>
    <w:uiPriority w:val="99"/>
    <w:semiHidden/>
    <w:unhideWhenUsed/>
    <w:rsid w:val="00203EFC"/>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03EFC"/>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5001-277A-48D9-B171-4E91D34EC1C8}">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5D9CDC3-4484-410C-8B2E-8C99D640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2CEF33-C477-4402-AF5E-FAC7FC603E78}">
  <ds:schemaRefs>
    <ds:schemaRef ds:uri="http://schemas.microsoft.com/sharepoint/v3/contenttype/forms"/>
  </ds:schemaRefs>
</ds:datastoreItem>
</file>

<file path=customXml/itemProps4.xml><?xml version="1.0" encoding="utf-8"?>
<ds:datastoreItem xmlns:ds="http://schemas.openxmlformats.org/officeDocument/2006/customXml" ds:itemID="{EC8F55DD-D222-4981-BF42-725C917F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2011-08-12T01:29:00Z</cp:lastPrinted>
  <dcterms:created xsi:type="dcterms:W3CDTF">2015-08-03T12:37:00Z</dcterms:created>
  <dcterms:modified xsi:type="dcterms:W3CDTF">2016-06-15T15:17:00Z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