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5DD8" w14:textId="77777777" w:rsidR="00F841CB" w:rsidRPr="00AA127A" w:rsidRDefault="00F841CB" w:rsidP="00CF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4D1708">
        <w:rPr>
          <w:rFonts w:ascii="Arial" w:hAnsi="Arial" w:cs="Arial"/>
        </w:rPr>
        <w:t xml:space="preserve"> The purpose </w:t>
      </w:r>
      <w:r w:rsidR="004D1708" w:rsidRPr="00AA127A">
        <w:rPr>
          <w:rFonts w:ascii="Arial" w:hAnsi="Arial" w:cs="Arial"/>
        </w:rPr>
        <w:t>of this SOP is to</w:t>
      </w:r>
      <w:r w:rsidR="004D1708" w:rsidRPr="00AA127A">
        <w:rPr>
          <w:rFonts w:ascii="Arial" w:hAnsi="Arial" w:cs="Arial"/>
          <w:color w:val="000000"/>
        </w:rPr>
        <w:t xml:space="preserve"> describe the </w:t>
      </w:r>
      <w:r w:rsidR="00AA127A" w:rsidRPr="00AA127A">
        <w:rPr>
          <w:rFonts w:ascii="Arial" w:hAnsi="Arial" w:cs="Arial"/>
        </w:rPr>
        <w:t xml:space="preserve">procedures followed by key research personnel engaged in clinical research at the </w:t>
      </w:r>
      <w:r w:rsidR="00AA127A">
        <w:rPr>
          <w:rFonts w:ascii="Arial" w:hAnsi="Arial" w:cs="Arial"/>
        </w:rPr>
        <w:t xml:space="preserve">CRC </w:t>
      </w:r>
      <w:r w:rsidR="00AA127A" w:rsidRPr="00AA127A">
        <w:rPr>
          <w:rFonts w:ascii="Arial" w:hAnsi="Arial" w:cs="Arial"/>
        </w:rPr>
        <w:t>dur</w:t>
      </w:r>
      <w:r w:rsidR="00AA127A">
        <w:rPr>
          <w:rFonts w:ascii="Arial" w:hAnsi="Arial" w:cs="Arial"/>
        </w:rPr>
        <w:t xml:space="preserve">ing a </w:t>
      </w:r>
      <w:r w:rsidR="005A39DD">
        <w:rPr>
          <w:rFonts w:ascii="Arial" w:hAnsi="Arial" w:cs="Arial"/>
        </w:rPr>
        <w:t xml:space="preserve">periodic </w:t>
      </w:r>
      <w:r w:rsidR="00AA127A" w:rsidRPr="00AA127A">
        <w:rPr>
          <w:rFonts w:ascii="Arial" w:hAnsi="Arial" w:cs="Arial"/>
        </w:rPr>
        <w:t>monitoring visit from the sponsor representative.</w:t>
      </w:r>
    </w:p>
    <w:p w14:paraId="48B85DD9" w14:textId="77777777" w:rsidR="00D769E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</w:rPr>
        <w:tab/>
      </w:r>
    </w:p>
    <w:p w14:paraId="48B85DDA" w14:textId="77777777" w:rsidR="00D769EC" w:rsidRPr="00D769E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B44EE" w:rsidRPr="00D769EC">
        <w:rPr>
          <w:rFonts w:ascii="Arial" w:hAnsi="Arial" w:cs="Arial"/>
        </w:rPr>
        <w:t xml:space="preserve"> </w:t>
      </w:r>
      <w:r w:rsidR="004D1708" w:rsidRPr="00D769EC">
        <w:rPr>
          <w:rFonts w:ascii="Arial" w:hAnsi="Arial" w:cs="Arial"/>
        </w:rPr>
        <w:t>This SOP applies to all human subjects clinical research studies conducted at the CRC.  The PI</w:t>
      </w:r>
      <w:r w:rsidR="00AA127A">
        <w:rPr>
          <w:rFonts w:ascii="Arial" w:hAnsi="Arial" w:cs="Arial"/>
        </w:rPr>
        <w:t xml:space="preserve"> will</w:t>
      </w:r>
      <w:r w:rsidR="00DE56AA" w:rsidRPr="00D769EC">
        <w:rPr>
          <w:rFonts w:ascii="Arial" w:hAnsi="Arial" w:cs="Arial"/>
        </w:rPr>
        <w:t xml:space="preserve"> designate appropriate research team members to </w:t>
      </w:r>
      <w:r w:rsidR="00D769EC" w:rsidRPr="00D769EC">
        <w:rPr>
          <w:rFonts w:ascii="Arial" w:hAnsi="Arial" w:cs="Arial"/>
        </w:rPr>
        <w:t xml:space="preserve">facilitate monitoring visits to ensure </w:t>
      </w:r>
      <w:r w:rsidR="00D769EC" w:rsidRPr="00D769EC">
        <w:rPr>
          <w:rFonts w:ascii="Arial" w:hAnsi="Arial" w:cs="Arial"/>
          <w:color w:val="000000"/>
        </w:rPr>
        <w:t>high st</w:t>
      </w:r>
      <w:r w:rsidR="00D769EC">
        <w:rPr>
          <w:rFonts w:ascii="Arial" w:hAnsi="Arial" w:cs="Arial"/>
          <w:color w:val="000000"/>
        </w:rPr>
        <w:t>andards of data collection and source data v</w:t>
      </w:r>
      <w:r w:rsidR="00D769EC" w:rsidRPr="00D769EC">
        <w:rPr>
          <w:rFonts w:ascii="Arial" w:hAnsi="Arial" w:cs="Arial"/>
          <w:color w:val="000000"/>
        </w:rPr>
        <w:t>erification are maintained at all times. </w:t>
      </w:r>
    </w:p>
    <w:p w14:paraId="48B85DDB" w14:textId="77777777" w:rsidR="00D769E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8B85DDC" w14:textId="77777777" w:rsidR="00D769EC" w:rsidRPr="00D769EC" w:rsidRDefault="00F841CB" w:rsidP="00CF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B44EE" w:rsidRPr="005B44EE">
        <w:rPr>
          <w:rFonts w:ascii="Arial" w:hAnsi="Arial" w:cs="Arial"/>
          <w:b/>
          <w:bCs/>
          <w:spacing w:val="2"/>
        </w:rPr>
        <w:t xml:space="preserve">  </w:t>
      </w:r>
      <w:r w:rsidR="00AA127A" w:rsidRPr="00AA127A">
        <w:rPr>
          <w:rFonts w:ascii="Arial" w:hAnsi="Arial" w:cs="Arial"/>
        </w:rPr>
        <w:t>The Principal Inve</w:t>
      </w:r>
      <w:r w:rsidR="00AA127A">
        <w:rPr>
          <w:rFonts w:ascii="Arial" w:hAnsi="Arial" w:cs="Arial"/>
        </w:rPr>
        <w:t>stigator</w:t>
      </w:r>
      <w:r w:rsidR="00AA127A" w:rsidRPr="00AA127A">
        <w:rPr>
          <w:rFonts w:ascii="Arial" w:hAnsi="Arial" w:cs="Arial"/>
        </w:rPr>
        <w:t xml:space="preserve"> (PI) and key research </w:t>
      </w:r>
      <w:r w:rsidR="00D8401E">
        <w:rPr>
          <w:rFonts w:ascii="Arial" w:hAnsi="Arial" w:cs="Arial"/>
        </w:rPr>
        <w:t>personnel are responsible for</w:t>
      </w:r>
      <w:r w:rsidR="00AA127A" w:rsidRPr="00AA127A">
        <w:rPr>
          <w:rFonts w:ascii="Arial" w:hAnsi="Arial" w:cs="Arial"/>
        </w:rPr>
        <w:t xml:space="preserve"> arranging, managing, participating in, and/or resolving any outstanding items resulting from the monitoring visit</w:t>
      </w:r>
      <w:r w:rsidR="00AA127A">
        <w:rPr>
          <w:rFonts w:ascii="Times New Roman" w:hAnsi="Times New Roman" w:cs="Times New Roman"/>
        </w:rPr>
        <w:t>.</w:t>
      </w:r>
    </w:p>
    <w:p w14:paraId="48B85DDD" w14:textId="77777777" w:rsidR="00F841CB" w:rsidRPr="00F841CB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8B85DDE" w14:textId="77777777" w:rsidR="00994C5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48B85DDF" w14:textId="77777777" w:rsidR="0000055F" w:rsidRDefault="0000055F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85DE0" w14:textId="77777777" w:rsidR="0000055F" w:rsidRDefault="00F940AC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</w:rPr>
        <w:t>Case Report Form (CRF)</w:t>
      </w:r>
      <w:r w:rsidR="0000055F" w:rsidRPr="0000055F">
        <w:rPr>
          <w:rFonts w:ascii="Arial" w:hAnsi="Arial" w:cs="Arial"/>
          <w:b/>
        </w:rPr>
        <w:t xml:space="preserve">:  </w:t>
      </w:r>
      <w:r w:rsidR="00C04288" w:rsidRPr="00C04288">
        <w:rPr>
          <w:rFonts w:ascii="Arial" w:hAnsi="Arial" w:cs="Arial"/>
          <w:lang w:val="en"/>
        </w:rPr>
        <w:t xml:space="preserve">A paper or electronic questionnaire specifically used in clinical trial research. The Case Report Form is the tool used by the sponsor of the </w:t>
      </w:r>
      <w:r w:rsidR="00C04288">
        <w:rPr>
          <w:rFonts w:ascii="Arial" w:hAnsi="Arial" w:cs="Arial"/>
          <w:lang w:val="en"/>
        </w:rPr>
        <w:t xml:space="preserve">clinical trial </w:t>
      </w:r>
      <w:r w:rsidR="00C04288" w:rsidRPr="00C04288">
        <w:rPr>
          <w:rFonts w:ascii="Arial" w:hAnsi="Arial" w:cs="Arial"/>
          <w:lang w:val="en"/>
        </w:rPr>
        <w:t xml:space="preserve">to collect data from each participating site. All data on each patient participating in a clinical trial are held and/or documented in the CRF, including </w:t>
      </w:r>
      <w:r w:rsidR="00C04288">
        <w:rPr>
          <w:rFonts w:ascii="Arial" w:hAnsi="Arial" w:cs="Arial"/>
          <w:lang w:val="en"/>
        </w:rPr>
        <w:t>adverse events.</w:t>
      </w:r>
    </w:p>
    <w:p w14:paraId="48B85DE1" w14:textId="77777777" w:rsidR="00C04288" w:rsidRPr="00C04288" w:rsidRDefault="00C04288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85DE2" w14:textId="77777777" w:rsidR="0000055F" w:rsidRDefault="00A60046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Monitoring: </w:t>
      </w:r>
      <w:r>
        <w:rPr>
          <w:rFonts w:ascii="Arial" w:hAnsi="Arial" w:cs="Arial"/>
        </w:rPr>
        <w:t xml:space="preserve"> The act of overseeing the prog</w:t>
      </w:r>
      <w:bookmarkStart w:id="0" w:name="_GoBack"/>
      <w:bookmarkEnd w:id="0"/>
      <w:r>
        <w:rPr>
          <w:rFonts w:ascii="Arial" w:hAnsi="Arial" w:cs="Arial"/>
        </w:rPr>
        <w:t>ress of a clinical trial, and of ensuri</w:t>
      </w:r>
      <w:r w:rsidR="003759CE">
        <w:rPr>
          <w:rFonts w:ascii="Arial" w:hAnsi="Arial" w:cs="Arial"/>
        </w:rPr>
        <w:t xml:space="preserve">ng that is conducted, recorded </w:t>
      </w:r>
      <w:r>
        <w:rPr>
          <w:rFonts w:ascii="Arial" w:hAnsi="Arial" w:cs="Arial"/>
        </w:rPr>
        <w:t>and reported in accordance with the protocol, Standard Operating Procedures (SOPs), Good Clinical Practice (GCP), and the applicable regulatory requirement(s).</w:t>
      </w:r>
    </w:p>
    <w:p w14:paraId="48B85DE3" w14:textId="77777777" w:rsidR="00A60046" w:rsidRDefault="00A60046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8B85DE4" w14:textId="4ABB6B0F" w:rsidR="00A60046" w:rsidRDefault="00A60046" w:rsidP="00CE1994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A60046">
        <w:rPr>
          <w:rFonts w:ascii="Arial" w:hAnsi="Arial" w:cs="Arial"/>
          <w:b/>
          <w:lang w:val="en"/>
        </w:rPr>
        <w:t xml:space="preserve">Monitoring Report: 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>A written report from the Monitor to the sponsor after each site visit and/or other trial- related communication according to the sponsor’</w:t>
      </w:r>
      <w:r w:rsidR="003D0D16">
        <w:rPr>
          <w:rFonts w:ascii="Arial" w:hAnsi="Arial" w:cs="Arial"/>
          <w:lang w:val="en"/>
        </w:rPr>
        <w:t>s SOP</w:t>
      </w:r>
      <w:r w:rsidR="00A30B13">
        <w:rPr>
          <w:rFonts w:ascii="Arial" w:hAnsi="Arial" w:cs="Arial"/>
          <w:lang w:val="en"/>
        </w:rPr>
        <w:t>.</w:t>
      </w:r>
    </w:p>
    <w:p w14:paraId="48B85DE5" w14:textId="77777777" w:rsidR="00A60046" w:rsidRPr="00A60046" w:rsidRDefault="00A60046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8B85DE6" w14:textId="77777777" w:rsidR="0000055F" w:rsidRDefault="0000055F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00055F">
        <w:rPr>
          <w:rFonts w:ascii="Arial" w:hAnsi="Arial" w:cs="Arial"/>
          <w:b/>
          <w:lang w:val="en"/>
        </w:rPr>
        <w:t>Regulatory Binder</w:t>
      </w:r>
      <w:r>
        <w:rPr>
          <w:rFonts w:ascii="Arial" w:hAnsi="Arial" w:cs="Arial"/>
          <w:lang w:val="en"/>
        </w:rPr>
        <w:t>:</w:t>
      </w:r>
      <w:r w:rsidR="00F00C2F">
        <w:rPr>
          <w:rFonts w:ascii="Arial" w:hAnsi="Arial" w:cs="Arial"/>
          <w:lang w:val="en"/>
        </w:rPr>
        <w:t xml:space="preserve"> Method used to organize/store essential study documents</w:t>
      </w:r>
      <w:r w:rsidR="00AD1D40">
        <w:rPr>
          <w:rFonts w:ascii="Arial" w:hAnsi="Arial" w:cs="Arial"/>
          <w:lang w:val="en"/>
        </w:rPr>
        <w:t>.  The regulatory binder is often the first document reviewed during audits and inspections.</w:t>
      </w:r>
    </w:p>
    <w:p w14:paraId="48B85DE7" w14:textId="77777777" w:rsidR="002718E1" w:rsidRDefault="002718E1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8B85DE8" w14:textId="77777777" w:rsidR="002718E1" w:rsidRDefault="002718E1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</w:t>
      </w:r>
      <w:r w:rsidR="00512160">
        <w:rPr>
          <w:rFonts w:ascii="Arial" w:hAnsi="Arial" w:cs="Arial"/>
          <w:lang w:val="en"/>
        </w:rPr>
        <w:t>tiates a</w:t>
      </w:r>
      <w:r w:rsidR="003D0D16">
        <w:rPr>
          <w:rFonts w:ascii="Arial" w:hAnsi="Arial" w:cs="Arial"/>
          <w:lang w:val="en"/>
        </w:rPr>
        <w:t xml:space="preserve"> clinical research trial</w:t>
      </w:r>
      <w:r w:rsidR="00171948">
        <w:rPr>
          <w:rFonts w:ascii="Arial" w:hAnsi="Arial" w:cs="Arial"/>
          <w:lang w:val="en"/>
        </w:rPr>
        <w:t>.</w:t>
      </w:r>
    </w:p>
    <w:p w14:paraId="48B85DE9" w14:textId="77777777" w:rsidR="00171948" w:rsidRDefault="00171948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48B85DEA" w14:textId="0528755D" w:rsidR="00171948" w:rsidRDefault="00171948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"/>
        </w:rPr>
        <w:t xml:space="preserve">Test Article: </w:t>
      </w:r>
      <w:r w:rsidRPr="00171948">
        <w:rPr>
          <w:rFonts w:ascii="Arial" w:hAnsi="Arial" w:cs="Arial"/>
          <w:lang w:val="en"/>
        </w:rPr>
        <w:t>The</w:t>
      </w:r>
      <w:r>
        <w:rPr>
          <w:rFonts w:ascii="Arial" w:hAnsi="Arial" w:cs="Arial"/>
          <w:b/>
          <w:lang w:val="en"/>
        </w:rPr>
        <w:t xml:space="preserve"> </w:t>
      </w:r>
      <w:r w:rsidRPr="00994C5C">
        <w:rPr>
          <w:rFonts w:ascii="Arial" w:hAnsi="Arial" w:cs="Arial"/>
          <w:color w:val="000000"/>
        </w:rPr>
        <w:t>object</w:t>
      </w:r>
      <w:r>
        <w:rPr>
          <w:rFonts w:ascii="Arial" w:hAnsi="Arial" w:cs="Arial"/>
          <w:b/>
          <w:color w:val="000000"/>
        </w:rPr>
        <w:t xml:space="preserve"> </w:t>
      </w:r>
      <w:r w:rsidRPr="00994C5C">
        <w:rPr>
          <w:rFonts w:ascii="Arial" w:hAnsi="Arial" w:cs="Arial"/>
          <w:color w:val="000000"/>
        </w:rPr>
        <w:t>o</w:t>
      </w:r>
      <w:r w:rsidR="003228BF">
        <w:rPr>
          <w:rFonts w:ascii="Arial" w:hAnsi="Arial" w:cs="Arial"/>
          <w:color w:val="000000"/>
        </w:rPr>
        <w:t>f an investigation for human</w:t>
      </w:r>
      <w:r w:rsidRPr="00994C5C">
        <w:rPr>
          <w:rFonts w:ascii="Arial" w:hAnsi="Arial" w:cs="Arial"/>
          <w:color w:val="000000"/>
        </w:rPr>
        <w:t xml:space="preserve"> subject </w:t>
      </w:r>
      <w:r w:rsidR="003228BF">
        <w:rPr>
          <w:rFonts w:ascii="Arial" w:hAnsi="Arial" w:cs="Arial"/>
          <w:color w:val="000000"/>
        </w:rPr>
        <w:t xml:space="preserve">use </w:t>
      </w:r>
      <w:r w:rsidRPr="00994C5C">
        <w:rPr>
          <w:rFonts w:ascii="Arial" w:hAnsi="Arial" w:cs="Arial"/>
          <w:color w:val="000000"/>
        </w:rPr>
        <w:t>to FDA regulations</w:t>
      </w:r>
      <w:r>
        <w:rPr>
          <w:rFonts w:ascii="Arial" w:hAnsi="Arial" w:cs="Arial"/>
          <w:color w:val="000000"/>
        </w:rPr>
        <w:t xml:space="preserve"> to include a drug, biologic, medical or investigational device or the study control used</w:t>
      </w:r>
      <w:r w:rsidRPr="00994C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a clinical trial.</w:t>
      </w:r>
      <w:r w:rsidR="00F762BB">
        <w:rPr>
          <w:rFonts w:ascii="Arial" w:hAnsi="Arial" w:cs="Arial"/>
          <w:color w:val="000000"/>
        </w:rPr>
        <w:t xml:space="preserve"> Also referred to as an investigational product (IP)</w:t>
      </w:r>
    </w:p>
    <w:p w14:paraId="48B85DEB" w14:textId="77777777" w:rsidR="00F762BB" w:rsidRDefault="00F762B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48B85DEC" w14:textId="77777777" w:rsidR="00F762BB" w:rsidRPr="00F762BB" w:rsidRDefault="00F762B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Investigational Product (IP): </w:t>
      </w:r>
      <w:r>
        <w:rPr>
          <w:rFonts w:ascii="Arial" w:hAnsi="Arial" w:cs="Arial"/>
          <w:lang w:val="en"/>
        </w:rPr>
        <w:t>A pharmaceutical form of an active ingredient or placebo being tested or used as a reference in a clinical trial, including a product with a marketing authorization when used or assembled (formulated or packaged) in a different way from the approved form, or when used for an unapproved indication, or when used to gain further information about an approved use. Also referred to as a test article.</w:t>
      </w:r>
    </w:p>
    <w:p w14:paraId="48B85DED" w14:textId="77777777" w:rsidR="00A0346A" w:rsidRDefault="00A0346A" w:rsidP="00CF2731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5BC9CBFB" w14:textId="77777777" w:rsidR="0039046C" w:rsidRDefault="0039046C" w:rsidP="00CF2731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48B85DEF" w14:textId="048B571E" w:rsidR="00AD474A" w:rsidRDefault="00E565D9" w:rsidP="00CF2731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 w:rsidRPr="00A33DC7">
        <w:rPr>
          <w:rFonts w:ascii="Arial" w:hAnsi="Arial" w:cs="Arial"/>
          <w:b/>
          <w:bCs/>
          <w:spacing w:val="2"/>
          <w:w w:val="103"/>
        </w:rPr>
        <w:lastRenderedPageBreak/>
        <w:t xml:space="preserve">PROCEDURE: </w:t>
      </w:r>
    </w:p>
    <w:p w14:paraId="48B85DF0" w14:textId="77777777" w:rsidR="002A0632" w:rsidRDefault="002A0632" w:rsidP="009C5CFC">
      <w:pPr>
        <w:autoSpaceDE w:val="0"/>
        <w:autoSpaceDN w:val="0"/>
        <w:adjustRightInd w:val="0"/>
        <w:spacing w:before="11" w:after="0" w:line="252" w:lineRule="auto"/>
        <w:ind w:left="-90" w:right="353" w:hanging="90"/>
        <w:rPr>
          <w:rFonts w:ascii="Arial" w:hAnsi="Arial" w:cs="Arial"/>
          <w:b/>
          <w:bCs/>
          <w:spacing w:val="2"/>
          <w:w w:val="103"/>
        </w:rPr>
      </w:pPr>
    </w:p>
    <w:p w14:paraId="014532EA" w14:textId="77777777" w:rsidR="003228BF" w:rsidRPr="003228BF" w:rsidRDefault="009C5CFC" w:rsidP="003228BF">
      <w:pPr>
        <w:autoSpaceDE w:val="0"/>
        <w:autoSpaceDN w:val="0"/>
        <w:adjustRightInd w:val="0"/>
        <w:spacing w:before="11" w:line="252" w:lineRule="auto"/>
        <w:ind w:right="353"/>
        <w:rPr>
          <w:rFonts w:ascii="Arial" w:hAnsi="Arial" w:cs="Arial"/>
          <w:bCs/>
          <w:spacing w:val="2"/>
          <w:w w:val="103"/>
        </w:rPr>
      </w:pPr>
      <w:r w:rsidRPr="003228BF">
        <w:rPr>
          <w:rFonts w:ascii="Arial" w:hAnsi="Arial" w:cs="Arial"/>
          <w:bCs/>
          <w:spacing w:val="2"/>
          <w:w w:val="103"/>
        </w:rPr>
        <w:t>T</w:t>
      </w:r>
      <w:r w:rsidR="003F4434" w:rsidRPr="003228BF">
        <w:rPr>
          <w:rFonts w:ascii="Arial" w:hAnsi="Arial" w:cs="Arial"/>
          <w:bCs/>
          <w:spacing w:val="2"/>
          <w:w w:val="103"/>
        </w:rPr>
        <w:t xml:space="preserve">he primary key research personnel assigned to the study </w:t>
      </w:r>
      <w:r w:rsidR="00AD474A" w:rsidRPr="003228BF">
        <w:rPr>
          <w:rFonts w:ascii="Arial" w:hAnsi="Arial" w:cs="Arial"/>
          <w:bCs/>
          <w:spacing w:val="2"/>
          <w:w w:val="103"/>
        </w:rPr>
        <w:t>will</w:t>
      </w:r>
      <w:r w:rsidR="002A0632" w:rsidRPr="003228BF">
        <w:rPr>
          <w:rFonts w:ascii="Arial" w:hAnsi="Arial" w:cs="Arial"/>
          <w:bCs/>
          <w:spacing w:val="2"/>
          <w:w w:val="103"/>
        </w:rPr>
        <w:t xml:space="preserve"> do the following activities before, during, an</w:t>
      </w:r>
      <w:r w:rsidR="003228BF" w:rsidRPr="003228BF">
        <w:rPr>
          <w:rFonts w:ascii="Arial" w:hAnsi="Arial" w:cs="Arial"/>
          <w:bCs/>
          <w:spacing w:val="2"/>
          <w:w w:val="103"/>
        </w:rPr>
        <w:t>d after a monitoring site visit:</w:t>
      </w:r>
    </w:p>
    <w:p w14:paraId="48B85DF2" w14:textId="56BEE2CB" w:rsidR="002A0632" w:rsidRPr="003228BF" w:rsidRDefault="003228BF" w:rsidP="003228BF">
      <w:pPr>
        <w:pStyle w:val="ListParagraph"/>
        <w:autoSpaceDE w:val="0"/>
        <w:autoSpaceDN w:val="0"/>
        <w:adjustRightInd w:val="0"/>
        <w:spacing w:before="11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3228BF">
        <w:rPr>
          <w:rFonts w:ascii="Arial" w:hAnsi="Arial" w:cs="Arial"/>
          <w:bCs/>
          <w:spacing w:val="2"/>
          <w:w w:val="103"/>
        </w:rPr>
        <w:t xml:space="preserve"> </w:t>
      </w:r>
    </w:p>
    <w:p w14:paraId="48B85DF3" w14:textId="77777777" w:rsidR="00CB096E" w:rsidRPr="009609DF" w:rsidRDefault="002A0632" w:rsidP="00D96E94">
      <w:pPr>
        <w:pStyle w:val="ListParagraph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before="11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9609DF">
        <w:rPr>
          <w:rFonts w:ascii="Arial" w:hAnsi="Arial" w:cs="Arial"/>
          <w:bCs/>
          <w:spacing w:val="2"/>
          <w:w w:val="103"/>
        </w:rPr>
        <w:t>Preparing for the Site Monitoring Visit:</w:t>
      </w:r>
    </w:p>
    <w:p w14:paraId="48B85DF4" w14:textId="2DBBE8FB" w:rsidR="00CB096E" w:rsidRPr="00CB096E" w:rsidRDefault="00CB096E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11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CB096E">
        <w:rPr>
          <w:rFonts w:ascii="Arial" w:hAnsi="Arial" w:cs="Arial"/>
          <w:bCs/>
          <w:spacing w:val="2"/>
          <w:w w:val="103"/>
        </w:rPr>
        <w:t>Refer to</w:t>
      </w:r>
      <w:r>
        <w:rPr>
          <w:rFonts w:ascii="Arial" w:hAnsi="Arial" w:cs="Arial"/>
          <w:bCs/>
          <w:spacing w:val="2"/>
          <w:w w:val="103"/>
        </w:rPr>
        <w:t xml:space="preserve"> Si</w:t>
      </w:r>
      <w:r w:rsidR="00FB64BE">
        <w:rPr>
          <w:rFonts w:ascii="Arial" w:hAnsi="Arial" w:cs="Arial"/>
          <w:bCs/>
          <w:spacing w:val="2"/>
          <w:w w:val="103"/>
        </w:rPr>
        <w:t>te Monitor</w:t>
      </w:r>
      <w:r w:rsidR="00CE1994">
        <w:rPr>
          <w:rFonts w:ascii="Arial" w:hAnsi="Arial" w:cs="Arial"/>
          <w:bCs/>
          <w:spacing w:val="2"/>
          <w:w w:val="103"/>
        </w:rPr>
        <w:t>ing Visit</w:t>
      </w:r>
      <w:r w:rsidR="00FB64BE">
        <w:rPr>
          <w:rFonts w:ascii="Arial" w:hAnsi="Arial" w:cs="Arial"/>
          <w:bCs/>
          <w:spacing w:val="2"/>
          <w:w w:val="103"/>
        </w:rPr>
        <w:t xml:space="preserve"> </w:t>
      </w:r>
      <w:r w:rsidR="00DB4592">
        <w:rPr>
          <w:rFonts w:ascii="Arial" w:hAnsi="Arial" w:cs="Arial"/>
          <w:bCs/>
          <w:spacing w:val="2"/>
          <w:w w:val="103"/>
        </w:rPr>
        <w:t xml:space="preserve">Checklist </w:t>
      </w:r>
      <w:r w:rsidR="00A30B13" w:rsidRPr="00A30B13">
        <w:rPr>
          <w:rFonts w:ascii="Arial" w:hAnsi="Arial" w:cs="Arial"/>
          <w:bCs/>
          <w:spacing w:val="2"/>
          <w:w w:val="103"/>
        </w:rPr>
        <w:t>(Appendix V).</w:t>
      </w:r>
    </w:p>
    <w:p w14:paraId="48B85DF5" w14:textId="77777777" w:rsidR="009C5CFC" w:rsidRDefault="009C5CFC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F4434" w:rsidRPr="003F4434">
        <w:rPr>
          <w:rFonts w:ascii="Arial" w:hAnsi="Arial" w:cs="Arial"/>
        </w:rPr>
        <w:t>chedule all monitor visits, including the first visit following</w:t>
      </w:r>
      <w:r>
        <w:rPr>
          <w:rFonts w:ascii="Arial" w:hAnsi="Arial" w:cs="Arial"/>
        </w:rPr>
        <w:t xml:space="preserve"> </w:t>
      </w:r>
      <w:r w:rsidR="003F4434" w:rsidRPr="009C5CFC">
        <w:rPr>
          <w:rFonts w:ascii="Arial" w:hAnsi="Arial" w:cs="Arial"/>
        </w:rPr>
        <w:t>initial enrollment or periodic visits throughout the study.</w:t>
      </w:r>
      <w:r>
        <w:rPr>
          <w:rFonts w:ascii="Arial" w:hAnsi="Arial" w:cs="Arial"/>
        </w:rPr>
        <w:t xml:space="preserve"> </w:t>
      </w:r>
      <w:r w:rsidR="003F4434" w:rsidRPr="009C5CFC">
        <w:rPr>
          <w:rFonts w:ascii="Arial" w:hAnsi="Arial" w:cs="Arial"/>
        </w:rPr>
        <w:t>When possible, the next monitor visit should be scheduled at</w:t>
      </w:r>
      <w:r w:rsidRPr="009C5CFC">
        <w:rPr>
          <w:rFonts w:ascii="Arial" w:hAnsi="Arial" w:cs="Arial"/>
        </w:rPr>
        <w:t xml:space="preserve"> </w:t>
      </w:r>
      <w:r w:rsidR="003F4434" w:rsidRPr="009C5CFC">
        <w:rPr>
          <w:rFonts w:ascii="Arial" w:hAnsi="Arial" w:cs="Arial"/>
        </w:rPr>
        <w:t>the conclusion of the current visit.</w:t>
      </w:r>
    </w:p>
    <w:p w14:paraId="48B85DF6" w14:textId="4AEB2060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Request the monitor’s agenda, if not already provided in a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monitor visit letter, to ensure appropriate key research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personnel will be avai</w:t>
      </w:r>
      <w:r w:rsidR="003C786E">
        <w:rPr>
          <w:rFonts w:ascii="Arial" w:hAnsi="Arial" w:cs="Arial"/>
        </w:rPr>
        <w:t>lable as needed (e.g., PI, research nurse, pharmacist</w:t>
      </w:r>
      <w:r w:rsidRPr="009C5CFC">
        <w:rPr>
          <w:rFonts w:ascii="Arial" w:hAnsi="Arial" w:cs="Arial"/>
        </w:rPr>
        <w:t>).</w:t>
      </w:r>
    </w:p>
    <w:p w14:paraId="48B85DF7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all regulatory documentation and case report forms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(CRFs) are complete and available for review.</w:t>
      </w:r>
    </w:p>
    <w:p w14:paraId="48B85DF8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all unanticipated problems, adverse events (as defined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in the protocol) and protocol deviations have been reported to</w:t>
      </w:r>
      <w:r w:rsidR="009C5CFC">
        <w:rPr>
          <w:rFonts w:ascii="Arial" w:hAnsi="Arial" w:cs="Arial"/>
        </w:rPr>
        <w:t xml:space="preserve"> the sponsor and the IRB</w:t>
      </w:r>
      <w:r w:rsidRPr="009C5CFC">
        <w:rPr>
          <w:rFonts w:ascii="Arial" w:hAnsi="Arial" w:cs="Arial"/>
        </w:rPr>
        <w:t>.</w:t>
      </w:r>
    </w:p>
    <w:p w14:paraId="48B85DF9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all data queries received to date have been resolved to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the extent possible.</w:t>
      </w:r>
    </w:p>
    <w:p w14:paraId="48B85DFA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Assure the test article is securely stored according to the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instructions in the protocol (e.g., temperature or light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specifications) and all accountability records are updated.</w:t>
      </w:r>
    </w:p>
    <w:p w14:paraId="48B85DFB" w14:textId="7CA16F32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the appropriate study participant medical records will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be available for review at the time of the monitoring visit. The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monitor or any other sponsor representative(s) should not be</w:t>
      </w:r>
      <w:r w:rsidR="009C5CFC">
        <w:rPr>
          <w:rFonts w:ascii="Arial" w:hAnsi="Arial" w:cs="Arial"/>
        </w:rPr>
        <w:t xml:space="preserve"> granted direct access to </w:t>
      </w:r>
      <w:r w:rsidR="00534FB9">
        <w:rPr>
          <w:rFonts w:ascii="Arial" w:hAnsi="Arial" w:cs="Arial"/>
        </w:rPr>
        <w:t xml:space="preserve">the </w:t>
      </w:r>
      <w:r w:rsidR="00E21779">
        <w:rPr>
          <w:rFonts w:ascii="Arial" w:hAnsi="Arial" w:cs="Arial"/>
        </w:rPr>
        <w:t>EMR)</w:t>
      </w:r>
      <w:r w:rsidRPr="009C5CFC">
        <w:rPr>
          <w:rFonts w:ascii="Arial" w:hAnsi="Arial" w:cs="Arial"/>
        </w:rPr>
        <w:t>. The research employee</w:t>
      </w:r>
      <w:r w:rsidR="009C5CFC">
        <w:rPr>
          <w:rFonts w:ascii="Arial" w:hAnsi="Arial" w:cs="Arial"/>
        </w:rPr>
        <w:t xml:space="preserve"> will request </w:t>
      </w:r>
      <w:r w:rsidRPr="009C5CFC">
        <w:rPr>
          <w:rFonts w:ascii="Arial" w:hAnsi="Arial" w:cs="Arial"/>
        </w:rPr>
        <w:t>the applicabl</w:t>
      </w:r>
      <w:r w:rsidR="003C786E">
        <w:rPr>
          <w:rFonts w:ascii="Arial" w:hAnsi="Arial" w:cs="Arial"/>
        </w:rPr>
        <w:t xml:space="preserve">e source data </w:t>
      </w:r>
      <w:r w:rsidR="009C5CFC">
        <w:rPr>
          <w:rFonts w:ascii="Arial" w:hAnsi="Arial" w:cs="Arial"/>
        </w:rPr>
        <w:t>from medical records at least 7 days in advance of visit.</w:t>
      </w:r>
      <w:r w:rsidRPr="009C5CFC">
        <w:rPr>
          <w:rFonts w:ascii="Arial" w:hAnsi="Arial" w:cs="Arial"/>
        </w:rPr>
        <w:t xml:space="preserve"> The monitor should never be allowed to</w:t>
      </w:r>
      <w:r w:rsidR="009C5CFC">
        <w:rPr>
          <w:rFonts w:ascii="Arial" w:hAnsi="Arial" w:cs="Arial"/>
        </w:rPr>
        <w:t xml:space="preserve"> </w:t>
      </w:r>
      <w:r w:rsidR="00534FB9">
        <w:rPr>
          <w:rFonts w:ascii="Arial" w:hAnsi="Arial" w:cs="Arial"/>
        </w:rPr>
        <w:t>navigate through EPIC</w:t>
      </w:r>
      <w:r w:rsidRPr="009C5CFC">
        <w:rPr>
          <w:rFonts w:ascii="Arial" w:hAnsi="Arial" w:cs="Arial"/>
        </w:rPr>
        <w:t xml:space="preserve"> using an employee’s login information.</w:t>
      </w:r>
    </w:p>
    <w:p w14:paraId="48B85DFC" w14:textId="41F3BB50" w:rsidR="00A60046" w:rsidRP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Be prepared to ask questions or discuss any concerns you may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have about communications or operations of the study</w:t>
      </w:r>
      <w:r w:rsidR="006B720A">
        <w:rPr>
          <w:rFonts w:ascii="Arial" w:hAnsi="Arial" w:cs="Arial"/>
        </w:rPr>
        <w:t>.</w:t>
      </w:r>
    </w:p>
    <w:p w14:paraId="48B85DFD" w14:textId="77777777" w:rsidR="003F4434" w:rsidRPr="003F4434" w:rsidRDefault="003F4434" w:rsidP="003F4434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</w:p>
    <w:p w14:paraId="48B85DFE" w14:textId="3625432A" w:rsidR="003F4434" w:rsidRPr="009609DF" w:rsidRDefault="002A0632" w:rsidP="00D96E94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9609DF">
        <w:rPr>
          <w:rFonts w:ascii="Arial" w:hAnsi="Arial" w:cs="Arial"/>
          <w:bCs/>
        </w:rPr>
        <w:t>During the Monitoring V</w:t>
      </w:r>
      <w:r w:rsidR="003F4434" w:rsidRPr="009609DF">
        <w:rPr>
          <w:rFonts w:ascii="Arial" w:hAnsi="Arial" w:cs="Arial"/>
          <w:bCs/>
        </w:rPr>
        <w:t>isit</w:t>
      </w:r>
      <w:r w:rsidR="00CF2731">
        <w:rPr>
          <w:rFonts w:ascii="Arial" w:hAnsi="Arial" w:cs="Arial"/>
          <w:bCs/>
        </w:rPr>
        <w:t>:</w:t>
      </w:r>
    </w:p>
    <w:p w14:paraId="48B85DFF" w14:textId="030EEA69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 xml:space="preserve">Ensure the monitor signs the monitoring visit </w:t>
      </w:r>
      <w:r w:rsidRPr="00A30B13">
        <w:rPr>
          <w:rFonts w:ascii="Arial" w:hAnsi="Arial" w:cs="Arial"/>
        </w:rPr>
        <w:t>log</w:t>
      </w:r>
      <w:r w:rsidR="00A30B13" w:rsidRPr="00A30B13">
        <w:rPr>
          <w:rFonts w:ascii="Arial" w:hAnsi="Arial" w:cs="Arial"/>
        </w:rPr>
        <w:t xml:space="preserve"> (See Appendix T of SOP# 303: Site Initiation Visit</w:t>
      </w:r>
      <w:r w:rsidR="00CB096E" w:rsidRPr="00A30B13">
        <w:rPr>
          <w:rFonts w:ascii="Arial" w:hAnsi="Arial" w:cs="Arial"/>
        </w:rPr>
        <w:t>)</w:t>
      </w:r>
      <w:r w:rsidRPr="00A30B13">
        <w:rPr>
          <w:rFonts w:ascii="Arial" w:hAnsi="Arial" w:cs="Arial"/>
        </w:rPr>
        <w:t>.</w:t>
      </w:r>
    </w:p>
    <w:p w14:paraId="48B85E00" w14:textId="77777777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Assure the study monitor has all documents required to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complete the monitoring visit.</w:t>
      </w:r>
    </w:p>
    <w:p w14:paraId="48B85E01" w14:textId="77777777" w:rsidR="002A0632" w:rsidRP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Provide the monitor with an update on any study-related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issues</w:t>
      </w:r>
      <w:r w:rsidRPr="002A0632">
        <w:rPr>
          <w:rFonts w:ascii="Arial" w:hAnsi="Arial" w:cs="Arial"/>
          <w:b/>
          <w:bCs/>
          <w:i/>
          <w:iCs/>
        </w:rPr>
        <w:t>.</w:t>
      </w:r>
    </w:p>
    <w:p w14:paraId="48B85E02" w14:textId="77777777" w:rsidR="007C2CD3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Throughout the visit, check periodically with the monitor and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provide information or documents as needed.</w:t>
      </w:r>
    </w:p>
    <w:p w14:paraId="48B85E03" w14:textId="5F271A74" w:rsidR="007C2CD3" w:rsidRPr="007C2CD3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7C2CD3">
        <w:rPr>
          <w:rFonts w:ascii="Arial" w:hAnsi="Arial" w:cs="Arial"/>
        </w:rPr>
        <w:t>At visit conclusion, the monitor will identify any outstanding</w:t>
      </w:r>
      <w:r w:rsidR="002A0632" w:rsidRPr="007C2CD3">
        <w:rPr>
          <w:rFonts w:ascii="Arial" w:hAnsi="Arial" w:cs="Arial"/>
        </w:rPr>
        <w:t xml:space="preserve"> </w:t>
      </w:r>
      <w:r w:rsidRPr="007C2CD3">
        <w:rPr>
          <w:rFonts w:ascii="Arial" w:hAnsi="Arial" w:cs="Arial"/>
        </w:rPr>
        <w:t>items requiring att</w:t>
      </w:r>
      <w:r w:rsidR="007C2CD3">
        <w:rPr>
          <w:rFonts w:ascii="Arial" w:hAnsi="Arial" w:cs="Arial"/>
        </w:rPr>
        <w:t>ention (e.g.,</w:t>
      </w:r>
      <w:r w:rsidR="002A0632" w:rsidRPr="007C2CD3">
        <w:rPr>
          <w:rFonts w:ascii="Arial" w:hAnsi="Arial" w:cs="Arial"/>
        </w:rPr>
        <w:t xml:space="preserve"> </w:t>
      </w:r>
      <w:r w:rsidR="007C2CD3">
        <w:rPr>
          <w:rFonts w:ascii="Arial" w:hAnsi="Arial" w:cs="Arial"/>
        </w:rPr>
        <w:t>p</w:t>
      </w:r>
      <w:r w:rsidRPr="007C2CD3">
        <w:rPr>
          <w:rFonts w:ascii="Arial" w:hAnsi="Arial" w:cs="Arial"/>
        </w:rPr>
        <w:t>rotocol adherence</w:t>
      </w:r>
      <w:r w:rsidR="006B720A">
        <w:rPr>
          <w:rFonts w:ascii="Arial" w:hAnsi="Arial" w:cs="Arial"/>
        </w:rPr>
        <w:t>,</w:t>
      </w:r>
      <w:r w:rsidR="002A0632" w:rsidRPr="007C2CD3">
        <w:rPr>
          <w:rFonts w:ascii="Arial" w:hAnsi="Arial" w:cs="Arial"/>
        </w:rPr>
        <w:t xml:space="preserve"> </w:t>
      </w:r>
      <w:r w:rsidR="007C2CD3">
        <w:rPr>
          <w:rFonts w:ascii="Arial" w:hAnsi="Arial" w:cs="Arial"/>
        </w:rPr>
        <w:t>s</w:t>
      </w:r>
      <w:r w:rsidR="007C2CD3" w:rsidRPr="007C2CD3">
        <w:rPr>
          <w:rFonts w:ascii="Arial" w:hAnsi="Arial" w:cs="Arial"/>
        </w:rPr>
        <w:t xml:space="preserve">ource document verification, </w:t>
      </w:r>
      <w:r w:rsidR="007C2CD3">
        <w:rPr>
          <w:rFonts w:ascii="Arial" w:hAnsi="Arial" w:cs="Arial"/>
        </w:rPr>
        <w:t>etc.).</w:t>
      </w:r>
    </w:p>
    <w:p w14:paraId="48B85E04" w14:textId="3F3BDCD1" w:rsidR="002A0632" w:rsidRDefault="00C463C3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F4434" w:rsidRPr="002A063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 xml:space="preserve">study </w:t>
      </w:r>
      <w:r w:rsidR="003F4434" w:rsidRPr="002A0632">
        <w:rPr>
          <w:rFonts w:ascii="Arial" w:hAnsi="Arial" w:cs="Arial"/>
        </w:rPr>
        <w:t>personnel managing the monitor visit will address any</w:t>
      </w:r>
      <w:r w:rsidR="002A0632">
        <w:rPr>
          <w:rFonts w:ascii="Arial" w:hAnsi="Arial" w:cs="Arial"/>
        </w:rPr>
        <w:t xml:space="preserve"> </w:t>
      </w:r>
      <w:r w:rsidR="007C2CD3">
        <w:rPr>
          <w:rFonts w:ascii="Arial" w:hAnsi="Arial" w:cs="Arial"/>
        </w:rPr>
        <w:t>outstanding items.</w:t>
      </w:r>
    </w:p>
    <w:p w14:paraId="503C6325" w14:textId="77777777" w:rsidR="00D61197" w:rsidRDefault="00D61197" w:rsidP="00C463C3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764C8AFB" w14:textId="77777777" w:rsidR="00C463C3" w:rsidRDefault="00C463C3" w:rsidP="00C463C3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>
        <w:rPr>
          <w:rFonts w:ascii="Arial" w:hAnsi="Arial" w:cs="Arial"/>
          <w:b/>
          <w:bCs/>
          <w:spacing w:val="2"/>
          <w:w w:val="103"/>
        </w:rPr>
        <w:t>PROCEDURE (cont.):</w:t>
      </w:r>
    </w:p>
    <w:p w14:paraId="4F39C522" w14:textId="77777777" w:rsidR="00C463C3" w:rsidRDefault="00C463C3" w:rsidP="00C463C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48B85E05" w14:textId="77777777" w:rsidR="002A0632" w:rsidRPr="006B020D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The monitor may request to speak with the PI, who should be</w:t>
      </w:r>
      <w:r w:rsidR="002A0632">
        <w:rPr>
          <w:rFonts w:ascii="Arial" w:hAnsi="Arial" w:cs="Arial"/>
        </w:rPr>
        <w:t xml:space="preserve"> </w:t>
      </w:r>
      <w:r w:rsidR="006B020D">
        <w:rPr>
          <w:rFonts w:ascii="Arial" w:hAnsi="Arial" w:cs="Arial"/>
        </w:rPr>
        <w:t>available during the visit.</w:t>
      </w:r>
    </w:p>
    <w:p w14:paraId="48B85E09" w14:textId="77777777" w:rsidR="00F81854" w:rsidRDefault="00F81854" w:rsidP="00C463C3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48B85E0A" w14:textId="3945DC91" w:rsidR="003F4434" w:rsidRPr="009609DF" w:rsidRDefault="002A0632" w:rsidP="00D96E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9609DF">
        <w:rPr>
          <w:rFonts w:ascii="Arial" w:hAnsi="Arial" w:cs="Arial"/>
          <w:bCs/>
        </w:rPr>
        <w:t>Follow-up after the Monitoring V</w:t>
      </w:r>
      <w:r w:rsidR="003F4434" w:rsidRPr="009609DF">
        <w:rPr>
          <w:rFonts w:ascii="Arial" w:hAnsi="Arial" w:cs="Arial"/>
          <w:bCs/>
        </w:rPr>
        <w:t>isit</w:t>
      </w:r>
      <w:r w:rsidR="00CF2731">
        <w:rPr>
          <w:rFonts w:ascii="Arial" w:hAnsi="Arial" w:cs="Arial"/>
          <w:bCs/>
        </w:rPr>
        <w:t>:</w:t>
      </w:r>
    </w:p>
    <w:p w14:paraId="48B85E0B" w14:textId="77777777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Ensure any outstanding items are addressed in a timely manner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and the necessary information is provided to the sponsor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and/or monitor.</w:t>
      </w:r>
    </w:p>
    <w:p w14:paraId="48B85E0C" w14:textId="6E8CE88E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Provide outstanding item resolution to the sponsor and/or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monitor and document resolution in the study files (e.g., fax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additional source documentation for an adverse event to the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sponsor and/or monitor and</w:t>
      </w:r>
      <w:r w:rsidR="006B720A">
        <w:rPr>
          <w:rFonts w:ascii="Arial" w:hAnsi="Arial" w:cs="Arial"/>
        </w:rPr>
        <w:t xml:space="preserve"> file the fax with confirmation</w:t>
      </w:r>
      <w:r w:rsidRPr="002A0632">
        <w:rPr>
          <w:rFonts w:ascii="Arial" w:hAnsi="Arial" w:cs="Arial"/>
        </w:rPr>
        <w:t xml:space="preserve"> in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the AE section of the regulatory binder(s)).</w:t>
      </w:r>
    </w:p>
    <w:p w14:paraId="48B85E0D" w14:textId="1FF7481F" w:rsidR="002A0632" w:rsidRDefault="00ED6799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Forward the </w:t>
      </w:r>
      <w:r w:rsidR="00CE1994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 a copy of the monitor visit report</w:t>
      </w:r>
      <w:r w:rsidR="003F4434" w:rsidRPr="002A0632">
        <w:rPr>
          <w:rFonts w:ascii="Arial" w:hAnsi="Arial" w:cs="Arial"/>
        </w:rPr>
        <w:t>, if</w:t>
      </w:r>
      <w:r w:rsidR="002A0632">
        <w:rPr>
          <w:rFonts w:ascii="Arial" w:hAnsi="Arial" w:cs="Arial"/>
        </w:rPr>
        <w:t xml:space="preserve"> </w:t>
      </w:r>
      <w:r w:rsidR="003F4434" w:rsidRPr="002A0632">
        <w:rPr>
          <w:rFonts w:ascii="Arial" w:hAnsi="Arial" w:cs="Arial"/>
        </w:rPr>
        <w:t>not already done so by the monitor, and inform them of the</w:t>
      </w:r>
      <w:r w:rsidR="002A0632">
        <w:rPr>
          <w:rFonts w:ascii="Arial" w:hAnsi="Arial" w:cs="Arial"/>
        </w:rPr>
        <w:t xml:space="preserve"> </w:t>
      </w:r>
      <w:r w:rsidR="003F4434" w:rsidRPr="002A0632">
        <w:rPr>
          <w:rFonts w:ascii="Arial" w:hAnsi="Arial" w:cs="Arial"/>
        </w:rPr>
        <w:t>plans to address any outstanding issues identified during the</w:t>
      </w:r>
      <w:r w:rsidR="002A0632">
        <w:rPr>
          <w:rFonts w:ascii="Arial" w:hAnsi="Arial" w:cs="Arial"/>
        </w:rPr>
        <w:t xml:space="preserve"> </w:t>
      </w:r>
      <w:r w:rsidR="003F4434" w:rsidRPr="002A0632">
        <w:rPr>
          <w:rFonts w:ascii="Arial" w:hAnsi="Arial" w:cs="Arial"/>
        </w:rPr>
        <w:t>visit.</w:t>
      </w:r>
    </w:p>
    <w:p w14:paraId="48B85E0E" w14:textId="77777777" w:rsidR="007C2CD3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File the monitor visit letter in the regulatory binder</w:t>
      </w:r>
      <w:r w:rsidR="007C2CD3">
        <w:rPr>
          <w:rFonts w:ascii="Arial" w:hAnsi="Arial" w:cs="Arial"/>
        </w:rPr>
        <w:t>.</w:t>
      </w:r>
    </w:p>
    <w:p w14:paraId="2011F791" w14:textId="77777777" w:rsidR="00CF2731" w:rsidRDefault="00CF2731" w:rsidP="00CF2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791CB1" w14:textId="77777777" w:rsidR="00CF2731" w:rsidRPr="00CF2731" w:rsidRDefault="00CF2731" w:rsidP="00CF2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85E36" w14:textId="77777777" w:rsidR="00154CFC" w:rsidRDefault="00154CFC" w:rsidP="0043621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tbl>
      <w:tblPr>
        <w:tblpPr w:leftFromText="180" w:rightFromText="180" w:vertAnchor="text" w:horzAnchor="margin" w:tblpX="10" w:tblpY="53"/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6930"/>
      </w:tblGrid>
      <w:tr w:rsidR="00CF2731" w:rsidRPr="00FA6586" w14:paraId="594F9F5B" w14:textId="77777777" w:rsidTr="00CF2731">
        <w:trPr>
          <w:trHeight w:hRule="exact" w:val="91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CBD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40E" w14:textId="2AACECBD" w:rsidR="00CF2731" w:rsidRPr="001A559D" w:rsidRDefault="00CF2731" w:rsidP="003228B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7C2CD3">
              <w:rPr>
                <w:rFonts w:ascii="Arial" w:hAnsi="Arial" w:cs="Arial"/>
                <w:sz w:val="20"/>
                <w:szCs w:val="20"/>
                <w:lang w:val="en"/>
              </w:rPr>
              <w:t>21 CFR 312.50; 21 CFR 312.56; 21CFR 312.59; 21CFR 312.60; 21CFR 312.62; 21CFR 312.64; 21CFR 312.66; 21CFR 312.68</w:t>
            </w:r>
            <w:r w:rsidRPr="007C2CD3">
              <w:rPr>
                <w:rFonts w:ascii="Arial" w:hAnsi="Arial" w:cs="Arial"/>
                <w:sz w:val="20"/>
                <w:szCs w:val="20"/>
              </w:rPr>
              <w:t>; January 1988 Guidelines for the Monitoring of Clinical Investigations; May 1997 International Conference on Harmonizatio</w:t>
            </w:r>
            <w:r>
              <w:rPr>
                <w:rFonts w:ascii="Arial" w:hAnsi="Arial" w:cs="Arial"/>
                <w:sz w:val="20"/>
                <w:szCs w:val="20"/>
              </w:rPr>
              <w:t>n (ICH) Good Clinical Practices; www.ctnbestpractices.org</w:t>
            </w:r>
            <w:r w:rsidRPr="001A559D">
              <w:rPr>
                <w:rFonts w:ascii="Arial" w:hAnsi="Arial" w:cs="Arial"/>
              </w:rPr>
              <w:t xml:space="preserve"> </w:t>
            </w:r>
          </w:p>
        </w:tc>
      </w:tr>
      <w:tr w:rsidR="00CF2731" w:rsidRPr="00FA6586" w14:paraId="336001C0" w14:textId="77777777" w:rsidTr="00CF2731">
        <w:trPr>
          <w:trHeight w:hRule="exact" w:val="26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0D4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CEFF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731" w:rsidRPr="00FA6586" w14:paraId="10727FAF" w14:textId="77777777" w:rsidTr="00CF2731">
        <w:trPr>
          <w:trHeight w:hRule="exact" w:val="116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8FF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Pr="001A559D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4BD" w14:textId="51C6541C" w:rsidR="00CF2731" w:rsidRPr="001A559D" w:rsidRDefault="00DB4592" w:rsidP="00DB4592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C463C3">
              <w:rPr>
                <w:rFonts w:ascii="Arial" w:hAnsi="Arial" w:cs="Arial"/>
                <w:sz w:val="20"/>
                <w:szCs w:val="20"/>
              </w:rPr>
              <w:t>SOP 201: Regulatory Documentation; SOP 204: Adverse Event Reporting; SOP 302</w:t>
            </w:r>
            <w:r w:rsidR="00CF2731" w:rsidRPr="00C4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3C3">
              <w:rPr>
                <w:rFonts w:ascii="Arial" w:hAnsi="Arial" w:cs="Arial"/>
                <w:sz w:val="20"/>
                <w:szCs w:val="20"/>
              </w:rPr>
              <w:t>Site Qualification Visit; SOP 303</w:t>
            </w:r>
            <w:r w:rsidR="00CF2731" w:rsidRPr="00C463C3">
              <w:rPr>
                <w:rFonts w:ascii="Arial" w:hAnsi="Arial" w:cs="Arial"/>
                <w:sz w:val="20"/>
                <w:szCs w:val="20"/>
              </w:rPr>
              <w:t xml:space="preserve"> Site Initiation Visit; </w:t>
            </w:r>
            <w:r w:rsidRPr="00C463C3">
              <w:rPr>
                <w:rFonts w:ascii="Arial" w:hAnsi="Arial" w:cs="Arial"/>
                <w:sz w:val="20"/>
                <w:szCs w:val="20"/>
              </w:rPr>
              <w:t xml:space="preserve"> SOP 304 Communication Practices; SOP 305: Investigational Product Accountability; </w:t>
            </w:r>
            <w:r w:rsidR="00CF2731" w:rsidRPr="00C463C3">
              <w:rPr>
                <w:rFonts w:ascii="Arial" w:hAnsi="Arial" w:cs="Arial"/>
                <w:sz w:val="20"/>
                <w:szCs w:val="20"/>
              </w:rPr>
              <w:t>SOP 311: Study Close-Out Visit; SOP 501: Case Report Completion; SOP 502: Sou</w:t>
            </w:r>
            <w:r w:rsidRPr="00C463C3">
              <w:rPr>
                <w:rFonts w:ascii="Arial" w:hAnsi="Arial" w:cs="Arial"/>
                <w:sz w:val="20"/>
                <w:szCs w:val="20"/>
              </w:rPr>
              <w:t>rce Documentation</w:t>
            </w:r>
          </w:p>
        </w:tc>
      </w:tr>
      <w:tr w:rsidR="00CF2731" w:rsidRPr="00FA6586" w14:paraId="5ABD254A" w14:textId="77777777" w:rsidTr="00CF2731">
        <w:trPr>
          <w:trHeight w:hRule="exact" w:val="22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8D2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543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731" w:rsidRPr="00FA6586" w14:paraId="12F8C4E1" w14:textId="77777777" w:rsidTr="00C463C3">
        <w:trPr>
          <w:trHeight w:hRule="exact" w:val="31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BBB" w14:textId="77777777" w:rsidR="00CF2731" w:rsidRPr="001A559D" w:rsidRDefault="00CF2731" w:rsidP="00CF2731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D239" w14:textId="6C06DEEC" w:rsidR="00CF2731" w:rsidRPr="00F22BAA" w:rsidRDefault="00C463C3" w:rsidP="00CF2731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V: Site Monitoring Visit Checklist</w:t>
            </w:r>
          </w:p>
        </w:tc>
      </w:tr>
      <w:tr w:rsidR="00CF2731" w:rsidRPr="00FA6586" w14:paraId="2FE5CAA7" w14:textId="77777777" w:rsidTr="00CF2731">
        <w:trPr>
          <w:trHeight w:hRule="exact" w:val="2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C11" w14:textId="77777777" w:rsidR="00CF2731" w:rsidRPr="001A559D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816" w14:textId="77777777" w:rsidR="00CF2731" w:rsidRPr="001A559D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731" w:rsidRPr="00FA6586" w14:paraId="2DBC1A2D" w14:textId="77777777" w:rsidTr="003228BF">
        <w:trPr>
          <w:trHeight w:hRule="exact" w:val="168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729" w14:textId="77777777" w:rsidR="00CF2731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342C1">
              <w:rPr>
                <w:rFonts w:ascii="Arial" w:hAnsi="Arial" w:cs="Arial"/>
                <w:b/>
              </w:rPr>
              <w:t>REVISION HISTORY: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29BE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  <w:p w14:paraId="0A97161B" w14:textId="77777777" w:rsidR="00CF2731" w:rsidRPr="00433679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tbl>
            <w:tblPr>
              <w:tblStyle w:val="TableGrid"/>
              <w:tblW w:w="980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3476"/>
            </w:tblGrid>
            <w:tr w:rsidR="00CF2731" w14:paraId="046B9A82" w14:textId="77777777" w:rsidTr="003228BF">
              <w:trPr>
                <w:trHeight w:val="309"/>
              </w:trPr>
              <w:tc>
                <w:tcPr>
                  <w:tcW w:w="3164" w:type="dxa"/>
                </w:tcPr>
                <w:p w14:paraId="6137C4DA" w14:textId="77777777" w:rsidR="00CF2731" w:rsidRDefault="00CF2731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left="-113"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Approval Date</w:t>
                  </w:r>
                </w:p>
              </w:tc>
              <w:tc>
                <w:tcPr>
                  <w:tcW w:w="3164" w:type="dxa"/>
                </w:tcPr>
                <w:p w14:paraId="3387BE21" w14:textId="77777777" w:rsidR="00CF2731" w:rsidRDefault="00CF2731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Effective Date</w:t>
                  </w:r>
                </w:p>
              </w:tc>
              <w:tc>
                <w:tcPr>
                  <w:tcW w:w="3476" w:type="dxa"/>
                </w:tcPr>
                <w:p w14:paraId="7995D725" w14:textId="77777777" w:rsidR="00CF2731" w:rsidRDefault="00CF2731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Review/Revision Date</w:t>
                  </w:r>
                </w:p>
              </w:tc>
            </w:tr>
            <w:tr w:rsidR="00CF2731" w14:paraId="7CE7C4D4" w14:textId="77777777" w:rsidTr="003228BF">
              <w:trPr>
                <w:trHeight w:val="279"/>
              </w:trPr>
              <w:tc>
                <w:tcPr>
                  <w:tcW w:w="3164" w:type="dxa"/>
                </w:tcPr>
                <w:p w14:paraId="2F132EA4" w14:textId="4A9B6126" w:rsidR="00CF2731" w:rsidRDefault="0039046C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01/01/2015</w:t>
                  </w:r>
                </w:p>
              </w:tc>
              <w:tc>
                <w:tcPr>
                  <w:tcW w:w="3164" w:type="dxa"/>
                </w:tcPr>
                <w:p w14:paraId="0DF11303" w14:textId="45EACD10" w:rsidR="00CF2731" w:rsidRDefault="0039046C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01/01/2015</w:t>
                  </w:r>
                </w:p>
              </w:tc>
              <w:tc>
                <w:tcPr>
                  <w:tcW w:w="3476" w:type="dxa"/>
                </w:tcPr>
                <w:p w14:paraId="74730DDD" w14:textId="13FD775C" w:rsidR="00CF2731" w:rsidRDefault="00F9673C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06/01/2016</w:t>
                  </w:r>
                </w:p>
              </w:tc>
            </w:tr>
            <w:tr w:rsidR="00CF2731" w14:paraId="49DC162A" w14:textId="77777777" w:rsidTr="003228BF">
              <w:trPr>
                <w:trHeight w:val="279"/>
              </w:trPr>
              <w:tc>
                <w:tcPr>
                  <w:tcW w:w="3164" w:type="dxa"/>
                </w:tcPr>
                <w:p w14:paraId="6276E86F" w14:textId="77777777" w:rsidR="00CF2731" w:rsidRDefault="00CF2731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64" w:type="dxa"/>
                </w:tcPr>
                <w:p w14:paraId="06BFC810" w14:textId="77777777" w:rsidR="00CF2731" w:rsidRDefault="00CF2731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76" w:type="dxa"/>
                </w:tcPr>
                <w:p w14:paraId="066ACA35" w14:textId="77777777" w:rsidR="00CF2731" w:rsidRDefault="00CF2731" w:rsidP="00F9673C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B4B2AF8" w14:textId="77777777" w:rsidR="00CF2731" w:rsidRPr="00D342C1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259D56CA" w14:textId="77777777" w:rsidR="00CF2731" w:rsidRDefault="00CF2731" w:rsidP="0043621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sectPr w:rsidR="00CF2731" w:rsidSect="00C92217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EE2B" w14:textId="77777777" w:rsidR="00A30B13" w:rsidRDefault="00A30B13" w:rsidP="00235C05">
      <w:pPr>
        <w:spacing w:after="0" w:line="240" w:lineRule="auto"/>
      </w:pPr>
      <w:r>
        <w:separator/>
      </w:r>
    </w:p>
  </w:endnote>
  <w:endnote w:type="continuationSeparator" w:id="0">
    <w:p w14:paraId="368968A9" w14:textId="77777777" w:rsidR="00A30B13" w:rsidRDefault="00A30B13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2F92" w14:textId="77777777" w:rsidR="00A30B13" w:rsidRDefault="00A30B13" w:rsidP="00235C05">
      <w:pPr>
        <w:spacing w:after="0" w:line="240" w:lineRule="auto"/>
      </w:pPr>
      <w:r>
        <w:separator/>
      </w:r>
    </w:p>
  </w:footnote>
  <w:footnote w:type="continuationSeparator" w:id="0">
    <w:p w14:paraId="4BF7B3DB" w14:textId="77777777" w:rsidR="00A30B13" w:rsidRDefault="00A30B13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A30B13" w14:paraId="031B9D63" w14:textId="77777777" w:rsidTr="00E21779">
      <w:trPr>
        <w:cantSplit/>
        <w:trHeight w:hRule="exact" w:val="57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6FDDEC1" w14:textId="77777777" w:rsidR="00A30B13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4575FAB" w14:textId="77777777" w:rsidR="00A30B13" w:rsidRPr="0024352A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76FDD685" w14:textId="77777777" w:rsidR="00A30B13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A30B13" w:rsidRPr="00132C6C" w14:paraId="634A823E" w14:textId="77777777" w:rsidTr="0039046C">
      <w:trPr>
        <w:cantSplit/>
        <w:trHeight w:hRule="exact" w:val="90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5719630" w14:textId="77777777" w:rsidR="00A30B13" w:rsidRPr="00F93A82" w:rsidRDefault="00A30B13" w:rsidP="003228B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80DF120" wp14:editId="40EBFCE7">
                <wp:extent cx="733425" cy="507229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743" cy="5198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19B8443" w14:textId="77777777" w:rsidR="00A30B13" w:rsidRPr="000526CA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highlight w:val="darkGreen"/>
            </w:rPr>
          </w:pPr>
        </w:p>
        <w:p w14:paraId="462DBA22" w14:textId="43C5B6C9" w:rsidR="00A30B13" w:rsidRPr="00132C6C" w:rsidRDefault="00A30B13" w:rsidP="003228B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sz w:val="28"/>
              <w:szCs w:val="28"/>
              <w:highlight w:val="darkGreen"/>
            </w:rPr>
          </w:pPr>
          <w:r w:rsidRPr="00E21779">
            <w:rPr>
              <w:rFonts w:ascii="Arial" w:hAnsi="Arial" w:cs="Arial"/>
              <w:b/>
              <w:sz w:val="28"/>
              <w:szCs w:val="28"/>
            </w:rPr>
            <w:t>SITE MONITORING VISIT</w:t>
          </w:r>
        </w:p>
      </w:tc>
    </w:tr>
    <w:tr w:rsidR="00A30B13" w:rsidRPr="00851AE9" w14:paraId="48EC3083" w14:textId="77777777" w:rsidTr="0039046C">
      <w:trPr>
        <w:cantSplit/>
        <w:trHeight w:hRule="exact" w:val="45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7F939B3" w14:textId="70F0EB6B" w:rsidR="00A30B13" w:rsidRPr="00851AE9" w:rsidRDefault="00A30B13" w:rsidP="003228B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310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5F276C0E" w14:textId="64F65D4B" w:rsidR="00A30B13" w:rsidRPr="00851AE9" w:rsidRDefault="00A30B13" w:rsidP="003228B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F9673C">
            <w:rPr>
              <w:rFonts w:ascii="Arial" w:hAnsi="Arial" w:cs="Arial"/>
              <w:b/>
              <w:spacing w:val="2"/>
            </w:rPr>
            <w:t xml:space="preserve"> 06/01/2016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066941BC" w14:textId="77777777" w:rsidR="00A30B13" w:rsidRPr="00851AE9" w:rsidRDefault="00A30B13" w:rsidP="003228B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0F0B8B50" w14:textId="77777777" w:rsidR="00A30B13" w:rsidRPr="00851AE9" w:rsidRDefault="00A30B13" w:rsidP="003228BF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F9673C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F9673C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48B85E4D" w14:textId="77777777" w:rsidR="00A30B13" w:rsidRDefault="00A30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0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A605BA4"/>
    <w:multiLevelType w:val="hybridMultilevel"/>
    <w:tmpl w:val="DEB8DF20"/>
    <w:lvl w:ilvl="0" w:tplc="3D88E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BA46AA1"/>
    <w:multiLevelType w:val="hybridMultilevel"/>
    <w:tmpl w:val="B958E9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10B721C"/>
    <w:multiLevelType w:val="multilevel"/>
    <w:tmpl w:val="9E324BD4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17">
    <w:nsid w:val="482A449D"/>
    <w:multiLevelType w:val="multilevel"/>
    <w:tmpl w:val="53183F98"/>
    <w:lvl w:ilvl="0">
      <w:start w:val="2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18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19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1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65FA77AB"/>
    <w:multiLevelType w:val="hybridMultilevel"/>
    <w:tmpl w:val="B03A4C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B310FA4"/>
    <w:multiLevelType w:val="hybridMultilevel"/>
    <w:tmpl w:val="66B81B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85864"/>
    <w:multiLevelType w:val="hybridMultilevel"/>
    <w:tmpl w:val="9C14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8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21"/>
  </w:num>
  <w:num w:numId="6">
    <w:abstractNumId w:val="11"/>
  </w:num>
  <w:num w:numId="7">
    <w:abstractNumId w:val="15"/>
  </w:num>
  <w:num w:numId="8">
    <w:abstractNumId w:val="6"/>
  </w:num>
  <w:num w:numId="9">
    <w:abstractNumId w:val="28"/>
  </w:num>
  <w:num w:numId="10">
    <w:abstractNumId w:val="20"/>
  </w:num>
  <w:num w:numId="11">
    <w:abstractNumId w:val="18"/>
  </w:num>
  <w:num w:numId="12">
    <w:abstractNumId w:val="14"/>
  </w:num>
  <w:num w:numId="13">
    <w:abstractNumId w:val="1"/>
  </w:num>
  <w:num w:numId="14">
    <w:abstractNumId w:val="19"/>
  </w:num>
  <w:num w:numId="15">
    <w:abstractNumId w:val="24"/>
  </w:num>
  <w:num w:numId="16">
    <w:abstractNumId w:val="4"/>
  </w:num>
  <w:num w:numId="17">
    <w:abstractNumId w:val="5"/>
  </w:num>
  <w:num w:numId="18">
    <w:abstractNumId w:val="25"/>
  </w:num>
  <w:num w:numId="19">
    <w:abstractNumId w:val="27"/>
  </w:num>
  <w:num w:numId="20">
    <w:abstractNumId w:val="8"/>
  </w:num>
  <w:num w:numId="21">
    <w:abstractNumId w:val="12"/>
  </w:num>
  <w:num w:numId="22">
    <w:abstractNumId w:val="0"/>
  </w:num>
  <w:num w:numId="23">
    <w:abstractNumId w:val="3"/>
  </w:num>
  <w:num w:numId="24">
    <w:abstractNumId w:val="13"/>
  </w:num>
  <w:num w:numId="25">
    <w:abstractNumId w:val="22"/>
  </w:num>
  <w:num w:numId="26">
    <w:abstractNumId w:val="23"/>
  </w:num>
  <w:num w:numId="27">
    <w:abstractNumId w:val="26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1148C"/>
    <w:rsid w:val="0002149C"/>
    <w:rsid w:val="00023DA7"/>
    <w:rsid w:val="00026FC0"/>
    <w:rsid w:val="00031A40"/>
    <w:rsid w:val="00036FC5"/>
    <w:rsid w:val="000446A9"/>
    <w:rsid w:val="00044961"/>
    <w:rsid w:val="0005314C"/>
    <w:rsid w:val="00055199"/>
    <w:rsid w:val="000555E8"/>
    <w:rsid w:val="00056156"/>
    <w:rsid w:val="00061528"/>
    <w:rsid w:val="00064CFE"/>
    <w:rsid w:val="00070B46"/>
    <w:rsid w:val="00085DF3"/>
    <w:rsid w:val="00093549"/>
    <w:rsid w:val="00093C26"/>
    <w:rsid w:val="000A4391"/>
    <w:rsid w:val="000B5D67"/>
    <w:rsid w:val="000C6F5D"/>
    <w:rsid w:val="000D44E8"/>
    <w:rsid w:val="000D5742"/>
    <w:rsid w:val="000D5C96"/>
    <w:rsid w:val="000E0857"/>
    <w:rsid w:val="000E270B"/>
    <w:rsid w:val="000E2C26"/>
    <w:rsid w:val="00102EC5"/>
    <w:rsid w:val="001042A3"/>
    <w:rsid w:val="001111D1"/>
    <w:rsid w:val="00146156"/>
    <w:rsid w:val="001520D8"/>
    <w:rsid w:val="00154CFC"/>
    <w:rsid w:val="00167904"/>
    <w:rsid w:val="00171948"/>
    <w:rsid w:val="001720CE"/>
    <w:rsid w:val="001733FC"/>
    <w:rsid w:val="00176FD8"/>
    <w:rsid w:val="001770AE"/>
    <w:rsid w:val="00177F5E"/>
    <w:rsid w:val="001932C3"/>
    <w:rsid w:val="001A32FA"/>
    <w:rsid w:val="001A559D"/>
    <w:rsid w:val="001B0AFE"/>
    <w:rsid w:val="001B6A33"/>
    <w:rsid w:val="001C4689"/>
    <w:rsid w:val="001C5268"/>
    <w:rsid w:val="001D2F63"/>
    <w:rsid w:val="001D5E87"/>
    <w:rsid w:val="001E325C"/>
    <w:rsid w:val="001F007B"/>
    <w:rsid w:val="001F04A6"/>
    <w:rsid w:val="001F6671"/>
    <w:rsid w:val="001F7006"/>
    <w:rsid w:val="002000D6"/>
    <w:rsid w:val="00204BF3"/>
    <w:rsid w:val="0021392B"/>
    <w:rsid w:val="00214949"/>
    <w:rsid w:val="00223926"/>
    <w:rsid w:val="00226965"/>
    <w:rsid w:val="00235C05"/>
    <w:rsid w:val="00237202"/>
    <w:rsid w:val="0024352A"/>
    <w:rsid w:val="00246E13"/>
    <w:rsid w:val="002560D3"/>
    <w:rsid w:val="00263ABF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632"/>
    <w:rsid w:val="002A1E18"/>
    <w:rsid w:val="002A1E63"/>
    <w:rsid w:val="002A49E6"/>
    <w:rsid w:val="002A6CC8"/>
    <w:rsid w:val="002C6C9F"/>
    <w:rsid w:val="002C7F10"/>
    <w:rsid w:val="002D6816"/>
    <w:rsid w:val="002F633D"/>
    <w:rsid w:val="002F72AC"/>
    <w:rsid w:val="0030363E"/>
    <w:rsid w:val="00305876"/>
    <w:rsid w:val="00317F00"/>
    <w:rsid w:val="003228BF"/>
    <w:rsid w:val="00325E5A"/>
    <w:rsid w:val="003268EF"/>
    <w:rsid w:val="0032712D"/>
    <w:rsid w:val="003315FB"/>
    <w:rsid w:val="00344306"/>
    <w:rsid w:val="00345B2E"/>
    <w:rsid w:val="00351C11"/>
    <w:rsid w:val="00354EEA"/>
    <w:rsid w:val="00355088"/>
    <w:rsid w:val="00356D09"/>
    <w:rsid w:val="0036273E"/>
    <w:rsid w:val="00367B75"/>
    <w:rsid w:val="003759CE"/>
    <w:rsid w:val="00377489"/>
    <w:rsid w:val="00381AF0"/>
    <w:rsid w:val="00387390"/>
    <w:rsid w:val="0038774F"/>
    <w:rsid w:val="0039046C"/>
    <w:rsid w:val="00395AFA"/>
    <w:rsid w:val="0039770E"/>
    <w:rsid w:val="003A21C9"/>
    <w:rsid w:val="003A4B2D"/>
    <w:rsid w:val="003B3F0B"/>
    <w:rsid w:val="003B4D0C"/>
    <w:rsid w:val="003C07E3"/>
    <w:rsid w:val="003C7253"/>
    <w:rsid w:val="003C786E"/>
    <w:rsid w:val="003C79C0"/>
    <w:rsid w:val="003D0D16"/>
    <w:rsid w:val="003E4A2B"/>
    <w:rsid w:val="003F4434"/>
    <w:rsid w:val="003F6A8D"/>
    <w:rsid w:val="003F7227"/>
    <w:rsid w:val="0040140B"/>
    <w:rsid w:val="004058B2"/>
    <w:rsid w:val="00410B0C"/>
    <w:rsid w:val="0041122D"/>
    <w:rsid w:val="00413042"/>
    <w:rsid w:val="0041391A"/>
    <w:rsid w:val="00425D2E"/>
    <w:rsid w:val="004355AD"/>
    <w:rsid w:val="00435926"/>
    <w:rsid w:val="0043621C"/>
    <w:rsid w:val="00451174"/>
    <w:rsid w:val="00455F42"/>
    <w:rsid w:val="00490626"/>
    <w:rsid w:val="00494EE5"/>
    <w:rsid w:val="004A4C11"/>
    <w:rsid w:val="004A52B9"/>
    <w:rsid w:val="004B0712"/>
    <w:rsid w:val="004B524E"/>
    <w:rsid w:val="004C0A4A"/>
    <w:rsid w:val="004C4029"/>
    <w:rsid w:val="004C55C3"/>
    <w:rsid w:val="004C60EE"/>
    <w:rsid w:val="004D1708"/>
    <w:rsid w:val="004D572C"/>
    <w:rsid w:val="004D7770"/>
    <w:rsid w:val="004E7913"/>
    <w:rsid w:val="004F3272"/>
    <w:rsid w:val="00501701"/>
    <w:rsid w:val="00512160"/>
    <w:rsid w:val="00514483"/>
    <w:rsid w:val="00522EDB"/>
    <w:rsid w:val="005238A1"/>
    <w:rsid w:val="00534FB9"/>
    <w:rsid w:val="00536476"/>
    <w:rsid w:val="00542B31"/>
    <w:rsid w:val="005502AE"/>
    <w:rsid w:val="005557E2"/>
    <w:rsid w:val="00560777"/>
    <w:rsid w:val="0056087E"/>
    <w:rsid w:val="00565E68"/>
    <w:rsid w:val="00566907"/>
    <w:rsid w:val="00567CDE"/>
    <w:rsid w:val="005755FC"/>
    <w:rsid w:val="00585608"/>
    <w:rsid w:val="005914F2"/>
    <w:rsid w:val="005925EB"/>
    <w:rsid w:val="0059397E"/>
    <w:rsid w:val="005A03AB"/>
    <w:rsid w:val="005A0597"/>
    <w:rsid w:val="005A16A4"/>
    <w:rsid w:val="005A2471"/>
    <w:rsid w:val="005A39DD"/>
    <w:rsid w:val="005B44EE"/>
    <w:rsid w:val="005C1938"/>
    <w:rsid w:val="005C419D"/>
    <w:rsid w:val="005C4C1D"/>
    <w:rsid w:val="005D1D42"/>
    <w:rsid w:val="005E00A5"/>
    <w:rsid w:val="005F5DA8"/>
    <w:rsid w:val="00600DC9"/>
    <w:rsid w:val="00602597"/>
    <w:rsid w:val="00603174"/>
    <w:rsid w:val="00605EBA"/>
    <w:rsid w:val="00606E96"/>
    <w:rsid w:val="00613895"/>
    <w:rsid w:val="006152D9"/>
    <w:rsid w:val="0061643E"/>
    <w:rsid w:val="00616FA7"/>
    <w:rsid w:val="006229A6"/>
    <w:rsid w:val="00624CCF"/>
    <w:rsid w:val="0064288D"/>
    <w:rsid w:val="006514EB"/>
    <w:rsid w:val="00661DDD"/>
    <w:rsid w:val="00663CD7"/>
    <w:rsid w:val="00673DC4"/>
    <w:rsid w:val="0068196E"/>
    <w:rsid w:val="00692823"/>
    <w:rsid w:val="006A5C20"/>
    <w:rsid w:val="006B020D"/>
    <w:rsid w:val="006B720A"/>
    <w:rsid w:val="006C2AA1"/>
    <w:rsid w:val="006D78F8"/>
    <w:rsid w:val="006E1419"/>
    <w:rsid w:val="006E294E"/>
    <w:rsid w:val="006E3693"/>
    <w:rsid w:val="006E4517"/>
    <w:rsid w:val="006E7423"/>
    <w:rsid w:val="0070568F"/>
    <w:rsid w:val="00706232"/>
    <w:rsid w:val="00706B71"/>
    <w:rsid w:val="00716100"/>
    <w:rsid w:val="00717C7E"/>
    <w:rsid w:val="00717DFA"/>
    <w:rsid w:val="0073473E"/>
    <w:rsid w:val="0073634D"/>
    <w:rsid w:val="00742E6F"/>
    <w:rsid w:val="00753101"/>
    <w:rsid w:val="00755C18"/>
    <w:rsid w:val="00761BD0"/>
    <w:rsid w:val="007656B8"/>
    <w:rsid w:val="00765B5B"/>
    <w:rsid w:val="00771933"/>
    <w:rsid w:val="00775D22"/>
    <w:rsid w:val="00786B03"/>
    <w:rsid w:val="00791139"/>
    <w:rsid w:val="00792FBA"/>
    <w:rsid w:val="007A04AA"/>
    <w:rsid w:val="007A3FA1"/>
    <w:rsid w:val="007A5EC8"/>
    <w:rsid w:val="007B04FE"/>
    <w:rsid w:val="007B36F8"/>
    <w:rsid w:val="007B40E4"/>
    <w:rsid w:val="007C2CD3"/>
    <w:rsid w:val="007D7961"/>
    <w:rsid w:val="007E25DD"/>
    <w:rsid w:val="007E3328"/>
    <w:rsid w:val="007E5820"/>
    <w:rsid w:val="007E698F"/>
    <w:rsid w:val="007F38F2"/>
    <w:rsid w:val="008044BF"/>
    <w:rsid w:val="0081231C"/>
    <w:rsid w:val="008165A8"/>
    <w:rsid w:val="008178A7"/>
    <w:rsid w:val="0082358C"/>
    <w:rsid w:val="00824B1A"/>
    <w:rsid w:val="00830DCD"/>
    <w:rsid w:val="00835AFA"/>
    <w:rsid w:val="00847B4C"/>
    <w:rsid w:val="0085515C"/>
    <w:rsid w:val="008617E8"/>
    <w:rsid w:val="0086375A"/>
    <w:rsid w:val="008A1B2D"/>
    <w:rsid w:val="008B10FA"/>
    <w:rsid w:val="008B34F0"/>
    <w:rsid w:val="008C02DC"/>
    <w:rsid w:val="008C727D"/>
    <w:rsid w:val="008D0717"/>
    <w:rsid w:val="008E51E7"/>
    <w:rsid w:val="008F301F"/>
    <w:rsid w:val="00905384"/>
    <w:rsid w:val="00910BFF"/>
    <w:rsid w:val="00920F4F"/>
    <w:rsid w:val="00924DF5"/>
    <w:rsid w:val="00925F71"/>
    <w:rsid w:val="009273D2"/>
    <w:rsid w:val="00935B42"/>
    <w:rsid w:val="00941872"/>
    <w:rsid w:val="00941A31"/>
    <w:rsid w:val="00942682"/>
    <w:rsid w:val="00953A88"/>
    <w:rsid w:val="00954598"/>
    <w:rsid w:val="00957B03"/>
    <w:rsid w:val="009609DF"/>
    <w:rsid w:val="00974E8F"/>
    <w:rsid w:val="009753B1"/>
    <w:rsid w:val="009836D5"/>
    <w:rsid w:val="00987B5F"/>
    <w:rsid w:val="00990C26"/>
    <w:rsid w:val="00991648"/>
    <w:rsid w:val="00994C5C"/>
    <w:rsid w:val="009A1B12"/>
    <w:rsid w:val="009B0611"/>
    <w:rsid w:val="009B1535"/>
    <w:rsid w:val="009B7786"/>
    <w:rsid w:val="009C2D12"/>
    <w:rsid w:val="009C58F5"/>
    <w:rsid w:val="009C5CFC"/>
    <w:rsid w:val="009C63C1"/>
    <w:rsid w:val="009D107F"/>
    <w:rsid w:val="009E1045"/>
    <w:rsid w:val="009F2988"/>
    <w:rsid w:val="00A0227A"/>
    <w:rsid w:val="00A0346A"/>
    <w:rsid w:val="00A071E2"/>
    <w:rsid w:val="00A07851"/>
    <w:rsid w:val="00A123F8"/>
    <w:rsid w:val="00A27C05"/>
    <w:rsid w:val="00A30B13"/>
    <w:rsid w:val="00A33DC7"/>
    <w:rsid w:val="00A4210D"/>
    <w:rsid w:val="00A500AA"/>
    <w:rsid w:val="00A562B7"/>
    <w:rsid w:val="00A60046"/>
    <w:rsid w:val="00A63715"/>
    <w:rsid w:val="00A677EF"/>
    <w:rsid w:val="00A71697"/>
    <w:rsid w:val="00A71D05"/>
    <w:rsid w:val="00A740C4"/>
    <w:rsid w:val="00A83B75"/>
    <w:rsid w:val="00A905C8"/>
    <w:rsid w:val="00A94443"/>
    <w:rsid w:val="00A94E17"/>
    <w:rsid w:val="00A96EA6"/>
    <w:rsid w:val="00AA127A"/>
    <w:rsid w:val="00AA37FB"/>
    <w:rsid w:val="00AA51DE"/>
    <w:rsid w:val="00AB02C7"/>
    <w:rsid w:val="00AB1EC3"/>
    <w:rsid w:val="00AD1893"/>
    <w:rsid w:val="00AD1D40"/>
    <w:rsid w:val="00AD474A"/>
    <w:rsid w:val="00AD6DBD"/>
    <w:rsid w:val="00AE7C49"/>
    <w:rsid w:val="00AF0A8F"/>
    <w:rsid w:val="00AF3DCF"/>
    <w:rsid w:val="00B04E45"/>
    <w:rsid w:val="00B078F9"/>
    <w:rsid w:val="00B117E8"/>
    <w:rsid w:val="00B204C5"/>
    <w:rsid w:val="00B30C24"/>
    <w:rsid w:val="00B30E32"/>
    <w:rsid w:val="00B34474"/>
    <w:rsid w:val="00B42E7B"/>
    <w:rsid w:val="00B47644"/>
    <w:rsid w:val="00B47F15"/>
    <w:rsid w:val="00B537D9"/>
    <w:rsid w:val="00B55B46"/>
    <w:rsid w:val="00B56F80"/>
    <w:rsid w:val="00B61110"/>
    <w:rsid w:val="00B6146A"/>
    <w:rsid w:val="00B634B3"/>
    <w:rsid w:val="00B65278"/>
    <w:rsid w:val="00B755C7"/>
    <w:rsid w:val="00B83AEB"/>
    <w:rsid w:val="00B95146"/>
    <w:rsid w:val="00BA1604"/>
    <w:rsid w:val="00BA5FC0"/>
    <w:rsid w:val="00BA682B"/>
    <w:rsid w:val="00BB0466"/>
    <w:rsid w:val="00BB0D4E"/>
    <w:rsid w:val="00BC022A"/>
    <w:rsid w:val="00BD2D08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7094"/>
    <w:rsid w:val="00C318E5"/>
    <w:rsid w:val="00C463C3"/>
    <w:rsid w:val="00C52F42"/>
    <w:rsid w:val="00C56477"/>
    <w:rsid w:val="00C56705"/>
    <w:rsid w:val="00C61255"/>
    <w:rsid w:val="00C62D32"/>
    <w:rsid w:val="00C65F03"/>
    <w:rsid w:val="00C72B6E"/>
    <w:rsid w:val="00C77D1A"/>
    <w:rsid w:val="00C809D0"/>
    <w:rsid w:val="00C82E3A"/>
    <w:rsid w:val="00C83BF7"/>
    <w:rsid w:val="00C91E2E"/>
    <w:rsid w:val="00C92217"/>
    <w:rsid w:val="00C95D11"/>
    <w:rsid w:val="00CA1B05"/>
    <w:rsid w:val="00CA6453"/>
    <w:rsid w:val="00CB096E"/>
    <w:rsid w:val="00CB0A24"/>
    <w:rsid w:val="00CB2BA6"/>
    <w:rsid w:val="00CB7BCA"/>
    <w:rsid w:val="00CC122D"/>
    <w:rsid w:val="00CD6BDE"/>
    <w:rsid w:val="00CE1994"/>
    <w:rsid w:val="00CE20FD"/>
    <w:rsid w:val="00CE22B5"/>
    <w:rsid w:val="00CE5178"/>
    <w:rsid w:val="00CF09EF"/>
    <w:rsid w:val="00CF121F"/>
    <w:rsid w:val="00CF181D"/>
    <w:rsid w:val="00CF2731"/>
    <w:rsid w:val="00CF68B1"/>
    <w:rsid w:val="00D064CE"/>
    <w:rsid w:val="00D13060"/>
    <w:rsid w:val="00D14D39"/>
    <w:rsid w:val="00D229BE"/>
    <w:rsid w:val="00D26FF1"/>
    <w:rsid w:val="00D342C1"/>
    <w:rsid w:val="00D350AB"/>
    <w:rsid w:val="00D37089"/>
    <w:rsid w:val="00D409ED"/>
    <w:rsid w:val="00D4641A"/>
    <w:rsid w:val="00D46A1C"/>
    <w:rsid w:val="00D543BE"/>
    <w:rsid w:val="00D54A31"/>
    <w:rsid w:val="00D60451"/>
    <w:rsid w:val="00D61197"/>
    <w:rsid w:val="00D718ED"/>
    <w:rsid w:val="00D769EC"/>
    <w:rsid w:val="00D778F2"/>
    <w:rsid w:val="00D81C28"/>
    <w:rsid w:val="00D8401E"/>
    <w:rsid w:val="00D91CD9"/>
    <w:rsid w:val="00D91D63"/>
    <w:rsid w:val="00D9517C"/>
    <w:rsid w:val="00D96E94"/>
    <w:rsid w:val="00DA2F90"/>
    <w:rsid w:val="00DB4592"/>
    <w:rsid w:val="00DD0A13"/>
    <w:rsid w:val="00DD6341"/>
    <w:rsid w:val="00DE2CCD"/>
    <w:rsid w:val="00DE56AA"/>
    <w:rsid w:val="00DF5E44"/>
    <w:rsid w:val="00E10D9A"/>
    <w:rsid w:val="00E14AB9"/>
    <w:rsid w:val="00E21779"/>
    <w:rsid w:val="00E25B7C"/>
    <w:rsid w:val="00E34DA4"/>
    <w:rsid w:val="00E37CE0"/>
    <w:rsid w:val="00E44494"/>
    <w:rsid w:val="00E565D9"/>
    <w:rsid w:val="00E61154"/>
    <w:rsid w:val="00E6258F"/>
    <w:rsid w:val="00E64B23"/>
    <w:rsid w:val="00E67F16"/>
    <w:rsid w:val="00E816DF"/>
    <w:rsid w:val="00E82208"/>
    <w:rsid w:val="00E83C5E"/>
    <w:rsid w:val="00E84AB0"/>
    <w:rsid w:val="00E86C3E"/>
    <w:rsid w:val="00E87F95"/>
    <w:rsid w:val="00E94FCF"/>
    <w:rsid w:val="00EC0B78"/>
    <w:rsid w:val="00EC5FC4"/>
    <w:rsid w:val="00ED2926"/>
    <w:rsid w:val="00ED40C5"/>
    <w:rsid w:val="00ED6799"/>
    <w:rsid w:val="00ED7E3A"/>
    <w:rsid w:val="00EE0B27"/>
    <w:rsid w:val="00EE5C63"/>
    <w:rsid w:val="00EE6308"/>
    <w:rsid w:val="00EF00DF"/>
    <w:rsid w:val="00EF5013"/>
    <w:rsid w:val="00EF7644"/>
    <w:rsid w:val="00F00C2F"/>
    <w:rsid w:val="00F00E8B"/>
    <w:rsid w:val="00F05D5D"/>
    <w:rsid w:val="00F179C5"/>
    <w:rsid w:val="00F22307"/>
    <w:rsid w:val="00F22BAA"/>
    <w:rsid w:val="00F2458A"/>
    <w:rsid w:val="00F377BF"/>
    <w:rsid w:val="00F4102B"/>
    <w:rsid w:val="00F51485"/>
    <w:rsid w:val="00F5190C"/>
    <w:rsid w:val="00F56084"/>
    <w:rsid w:val="00F63FE5"/>
    <w:rsid w:val="00F64156"/>
    <w:rsid w:val="00F649F1"/>
    <w:rsid w:val="00F728F3"/>
    <w:rsid w:val="00F762BB"/>
    <w:rsid w:val="00F804B3"/>
    <w:rsid w:val="00F81854"/>
    <w:rsid w:val="00F841CB"/>
    <w:rsid w:val="00F926EE"/>
    <w:rsid w:val="00F93A82"/>
    <w:rsid w:val="00F940AC"/>
    <w:rsid w:val="00F9673C"/>
    <w:rsid w:val="00FA05DC"/>
    <w:rsid w:val="00FA1248"/>
    <w:rsid w:val="00FA4044"/>
    <w:rsid w:val="00FA6586"/>
    <w:rsid w:val="00FB64BE"/>
    <w:rsid w:val="00FB6D76"/>
    <w:rsid w:val="00FC1F62"/>
    <w:rsid w:val="00FD64FB"/>
    <w:rsid w:val="00FE08CD"/>
    <w:rsid w:val="00FE4B11"/>
    <w:rsid w:val="00FF391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B85DD8"/>
  <w15:docId w15:val="{DAD38C21-2EFB-4F42-A391-E6B14B1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0ECA-0A7D-4973-B052-499C8C3CE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B0473-B8FE-453E-B771-1D505552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867D9-6341-47F0-8885-813B9FD4ACD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E16E49-ACDB-439D-9FC5-3460FC1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Wakefield, Ruth Anderson</cp:lastModifiedBy>
  <cp:revision>4</cp:revision>
  <cp:lastPrinted>2012-02-06T20:47:00Z</cp:lastPrinted>
  <dcterms:created xsi:type="dcterms:W3CDTF">2015-08-03T18:57:00Z</dcterms:created>
  <dcterms:modified xsi:type="dcterms:W3CDTF">2016-06-15T14:39:00Z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