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63ADC" w14:textId="77777777" w:rsidR="00951A0F" w:rsidRDefault="00951A0F" w:rsidP="002A704B">
      <w:pPr>
        <w:tabs>
          <w:tab w:val="left" w:pos="-180"/>
        </w:tabs>
        <w:autoSpaceDE w:val="0"/>
        <w:autoSpaceDN w:val="0"/>
        <w:adjustRightInd w:val="0"/>
        <w:spacing w:after="0" w:line="240" w:lineRule="auto"/>
        <w:ind w:left="-175"/>
        <w:rPr>
          <w:rFonts w:ascii="Arial" w:hAnsi="Arial" w:cs="Arial"/>
          <w:b/>
          <w:bCs/>
          <w:spacing w:val="2"/>
          <w:w w:val="103"/>
        </w:rPr>
      </w:pPr>
    </w:p>
    <w:p w14:paraId="430F9356" w14:textId="26592F8B" w:rsidR="004E1607" w:rsidRPr="00E6440F" w:rsidRDefault="004E1607" w:rsidP="002A704B">
      <w:pPr>
        <w:tabs>
          <w:tab w:val="left" w:pos="0"/>
        </w:tabs>
        <w:autoSpaceDE w:val="0"/>
        <w:autoSpaceDN w:val="0"/>
        <w:adjustRightInd w:val="0"/>
        <w:spacing w:after="0" w:line="240" w:lineRule="auto"/>
        <w:rPr>
          <w:rFonts w:ascii="Arial" w:hAnsi="Arial" w:cs="Arial"/>
        </w:rPr>
      </w:pPr>
      <w:r w:rsidRPr="00E6440F">
        <w:rPr>
          <w:rFonts w:ascii="Arial" w:hAnsi="Arial" w:cs="Arial"/>
          <w:b/>
          <w:bCs/>
          <w:spacing w:val="2"/>
          <w:w w:val="103"/>
        </w:rPr>
        <w:t>PURP</w:t>
      </w:r>
      <w:r w:rsidRPr="00E6440F">
        <w:rPr>
          <w:rFonts w:ascii="Arial" w:hAnsi="Arial" w:cs="Arial"/>
          <w:b/>
          <w:bCs/>
          <w:spacing w:val="3"/>
          <w:w w:val="103"/>
        </w:rPr>
        <w:t>O</w:t>
      </w:r>
      <w:r>
        <w:rPr>
          <w:rFonts w:ascii="Arial" w:hAnsi="Arial" w:cs="Arial"/>
          <w:b/>
          <w:bCs/>
          <w:spacing w:val="2"/>
          <w:w w:val="103"/>
        </w:rPr>
        <w:t>S</w:t>
      </w:r>
      <w:r w:rsidRPr="00E6440F">
        <w:rPr>
          <w:rFonts w:ascii="Arial" w:hAnsi="Arial" w:cs="Arial"/>
          <w:b/>
          <w:bCs/>
          <w:spacing w:val="2"/>
          <w:w w:val="103"/>
        </w:rPr>
        <w:t>E</w:t>
      </w:r>
      <w:r w:rsidRPr="00E6440F">
        <w:rPr>
          <w:rFonts w:ascii="Arial" w:hAnsi="Arial" w:cs="Arial"/>
          <w:b/>
          <w:bCs/>
          <w:w w:val="103"/>
        </w:rPr>
        <w:t>:</w:t>
      </w:r>
      <w:r>
        <w:rPr>
          <w:rFonts w:ascii="Arial" w:hAnsi="Arial" w:cs="Arial"/>
        </w:rPr>
        <w:t xml:space="preserve"> </w:t>
      </w:r>
      <w:r w:rsidRPr="00E6440F">
        <w:rPr>
          <w:rFonts w:ascii="Arial" w:hAnsi="Arial" w:cs="Arial"/>
        </w:rPr>
        <w:t xml:space="preserve">The purpose of this SOP is to ensure that adverse and serious adverse events of studies conducted at the CRC are defined, recorded, reported and evaluated as required by the USF IRB </w:t>
      </w:r>
      <w:r w:rsidR="00263F75">
        <w:rPr>
          <w:rFonts w:ascii="Arial" w:hAnsi="Arial" w:cs="Arial"/>
        </w:rPr>
        <w:t xml:space="preserve">and the ICH guidelines. </w:t>
      </w:r>
    </w:p>
    <w:p w14:paraId="430F9357" w14:textId="77777777" w:rsidR="004E1607" w:rsidRPr="00E6440F" w:rsidRDefault="004E1607" w:rsidP="007B40E4">
      <w:pPr>
        <w:tabs>
          <w:tab w:val="left" w:pos="720"/>
        </w:tabs>
        <w:autoSpaceDE w:val="0"/>
        <w:autoSpaceDN w:val="0"/>
        <w:adjustRightInd w:val="0"/>
        <w:spacing w:after="0" w:line="240" w:lineRule="auto"/>
        <w:ind w:left="-175"/>
        <w:rPr>
          <w:rFonts w:ascii="Times New Roman" w:hAnsi="Times New Roman" w:cs="Times New Roman"/>
        </w:rPr>
      </w:pPr>
      <w:r w:rsidRPr="00E6440F">
        <w:rPr>
          <w:rFonts w:ascii="Arial" w:hAnsi="Arial" w:cs="Arial"/>
        </w:rPr>
        <w:tab/>
      </w:r>
    </w:p>
    <w:p w14:paraId="430F9358" w14:textId="4B3D6ED1" w:rsidR="004E1607" w:rsidRPr="00E6440F" w:rsidRDefault="004E1607" w:rsidP="002A704B">
      <w:pPr>
        <w:tabs>
          <w:tab w:val="left" w:pos="0"/>
        </w:tabs>
        <w:autoSpaceDE w:val="0"/>
        <w:autoSpaceDN w:val="0"/>
        <w:adjustRightInd w:val="0"/>
        <w:spacing w:before="4" w:after="0" w:line="240" w:lineRule="auto"/>
        <w:ind w:right="96"/>
        <w:rPr>
          <w:rFonts w:ascii="Arial" w:hAnsi="Arial" w:cs="Arial"/>
        </w:rPr>
      </w:pPr>
      <w:r w:rsidRPr="00E6440F">
        <w:rPr>
          <w:rFonts w:ascii="Arial" w:hAnsi="Arial" w:cs="Arial"/>
          <w:b/>
          <w:bCs/>
          <w:spacing w:val="2"/>
          <w:w w:val="103"/>
        </w:rPr>
        <w:t>SCOPE</w:t>
      </w:r>
      <w:r w:rsidRPr="00E6440F">
        <w:rPr>
          <w:rFonts w:ascii="Arial" w:hAnsi="Arial" w:cs="Arial"/>
          <w:b/>
          <w:bCs/>
          <w:w w:val="103"/>
        </w:rPr>
        <w:t>:</w:t>
      </w:r>
      <w:r w:rsidR="00823FC3">
        <w:rPr>
          <w:rFonts w:ascii="Arial" w:hAnsi="Arial" w:cs="Arial"/>
        </w:rPr>
        <w:t xml:space="preserve"> </w:t>
      </w:r>
      <w:r w:rsidRPr="00E6440F">
        <w:rPr>
          <w:rFonts w:ascii="Arial" w:hAnsi="Arial" w:cs="Arial"/>
          <w:color w:val="000000"/>
        </w:rPr>
        <w:t>This SOP applies to all potentially related study events favorable and adverse, serious and non-serious, that must be recorded in the research record Case Report Form (CRF).</w:t>
      </w:r>
    </w:p>
    <w:p w14:paraId="430F9359" w14:textId="77777777" w:rsidR="004E1607" w:rsidRDefault="004E1607" w:rsidP="002A704B">
      <w:pPr>
        <w:tabs>
          <w:tab w:val="left" w:pos="0"/>
        </w:tabs>
        <w:autoSpaceDE w:val="0"/>
        <w:autoSpaceDN w:val="0"/>
        <w:adjustRightInd w:val="0"/>
        <w:spacing w:after="0" w:line="240" w:lineRule="auto"/>
        <w:rPr>
          <w:rFonts w:ascii="Times New Roman" w:hAnsi="Times New Roman" w:cs="Times New Roman"/>
        </w:rPr>
      </w:pPr>
      <w:r w:rsidRPr="00E6440F">
        <w:rPr>
          <w:rFonts w:ascii="Arial" w:hAnsi="Arial" w:cs="Arial"/>
        </w:rPr>
        <w:tab/>
      </w:r>
    </w:p>
    <w:p w14:paraId="430F935A" w14:textId="77777777" w:rsidR="004E1607" w:rsidRPr="004E1607" w:rsidRDefault="004E1607" w:rsidP="002A704B">
      <w:pPr>
        <w:tabs>
          <w:tab w:val="left" w:pos="0"/>
        </w:tabs>
        <w:autoSpaceDE w:val="0"/>
        <w:autoSpaceDN w:val="0"/>
        <w:adjustRightInd w:val="0"/>
        <w:spacing w:after="0" w:line="240" w:lineRule="auto"/>
        <w:rPr>
          <w:rFonts w:ascii="Times New Roman" w:hAnsi="Times New Roman" w:cs="Times New Roman"/>
        </w:rPr>
      </w:pPr>
      <w:r w:rsidRPr="00E6440F">
        <w:rPr>
          <w:rFonts w:ascii="Arial" w:hAnsi="Arial" w:cs="Arial"/>
          <w:b/>
          <w:bCs/>
          <w:spacing w:val="2"/>
        </w:rPr>
        <w:t>RESPONSIBILITY:</w:t>
      </w:r>
      <w:r>
        <w:rPr>
          <w:rFonts w:ascii="Arial" w:hAnsi="Arial" w:cs="Arial"/>
        </w:rPr>
        <w:t xml:space="preserve"> </w:t>
      </w:r>
      <w:r w:rsidRPr="00E6440F">
        <w:rPr>
          <w:rFonts w:ascii="Arial" w:hAnsi="Arial" w:cs="Arial"/>
          <w:color w:val="000000"/>
        </w:rPr>
        <w:t>Research team members in contact with a subject are responsible for documenting  events reported by the subject and making those known to appropriate staff (eg: research coordinator, research nurse, PI, etc).  The Principal Investigator (PI) is responsible for the accuracy, completeness and timeliness of records and reports.  The PI will review all reports before signature or transmission.</w:t>
      </w:r>
    </w:p>
    <w:p w14:paraId="430F935B" w14:textId="77777777" w:rsidR="004E1607" w:rsidRPr="00E6440F" w:rsidRDefault="004E1607" w:rsidP="002A704B">
      <w:pPr>
        <w:tabs>
          <w:tab w:val="left" w:pos="0"/>
        </w:tabs>
        <w:autoSpaceDE w:val="0"/>
        <w:autoSpaceDN w:val="0"/>
        <w:adjustRightInd w:val="0"/>
        <w:spacing w:after="0" w:line="240" w:lineRule="auto"/>
        <w:rPr>
          <w:rFonts w:ascii="Arial" w:hAnsi="Arial" w:cs="Arial"/>
        </w:rPr>
      </w:pPr>
    </w:p>
    <w:p w14:paraId="430F935C" w14:textId="77777777" w:rsidR="004E1607" w:rsidRDefault="004E1607" w:rsidP="002A704B">
      <w:pPr>
        <w:tabs>
          <w:tab w:val="left" w:pos="0"/>
        </w:tabs>
        <w:autoSpaceDE w:val="0"/>
        <w:autoSpaceDN w:val="0"/>
        <w:adjustRightInd w:val="0"/>
        <w:spacing w:before="4" w:after="0"/>
        <w:ind w:right="190"/>
        <w:rPr>
          <w:rFonts w:ascii="Arial" w:hAnsi="Arial" w:cs="Arial"/>
          <w:b/>
        </w:rPr>
      </w:pPr>
      <w:r w:rsidRPr="00E6440F">
        <w:rPr>
          <w:rFonts w:ascii="Arial" w:hAnsi="Arial" w:cs="Arial"/>
          <w:b/>
          <w:bCs/>
          <w:spacing w:val="2"/>
          <w:w w:val="103"/>
        </w:rPr>
        <w:t>DEF</w:t>
      </w:r>
      <w:r w:rsidRPr="00E6440F">
        <w:rPr>
          <w:rFonts w:ascii="Arial" w:hAnsi="Arial" w:cs="Arial"/>
          <w:b/>
          <w:bCs/>
          <w:spacing w:val="1"/>
          <w:w w:val="103"/>
        </w:rPr>
        <w:t>I</w:t>
      </w:r>
      <w:r w:rsidRPr="00E6440F">
        <w:rPr>
          <w:rFonts w:ascii="Arial" w:hAnsi="Arial" w:cs="Arial"/>
          <w:b/>
          <w:bCs/>
          <w:spacing w:val="2"/>
          <w:w w:val="103"/>
        </w:rPr>
        <w:t>N</w:t>
      </w:r>
      <w:r w:rsidRPr="00E6440F">
        <w:rPr>
          <w:rFonts w:ascii="Arial" w:hAnsi="Arial" w:cs="Arial"/>
          <w:b/>
          <w:bCs/>
          <w:spacing w:val="1"/>
          <w:w w:val="103"/>
        </w:rPr>
        <w:t>I</w:t>
      </w:r>
      <w:r w:rsidRPr="00E6440F">
        <w:rPr>
          <w:rFonts w:ascii="Arial" w:hAnsi="Arial" w:cs="Arial"/>
          <w:b/>
          <w:bCs/>
          <w:spacing w:val="2"/>
          <w:w w:val="103"/>
        </w:rPr>
        <w:t>T</w:t>
      </w:r>
      <w:r w:rsidRPr="00E6440F">
        <w:rPr>
          <w:rFonts w:ascii="Arial" w:hAnsi="Arial" w:cs="Arial"/>
          <w:b/>
          <w:bCs/>
          <w:spacing w:val="1"/>
          <w:w w:val="103"/>
        </w:rPr>
        <w:t>I</w:t>
      </w:r>
      <w:r w:rsidRPr="00E6440F">
        <w:rPr>
          <w:rFonts w:ascii="Arial" w:hAnsi="Arial" w:cs="Arial"/>
          <w:b/>
          <w:bCs/>
          <w:spacing w:val="3"/>
          <w:w w:val="103"/>
        </w:rPr>
        <w:t>O</w:t>
      </w:r>
      <w:r w:rsidRPr="00E6440F">
        <w:rPr>
          <w:rFonts w:ascii="Arial" w:hAnsi="Arial" w:cs="Arial"/>
          <w:b/>
          <w:bCs/>
          <w:spacing w:val="2"/>
          <w:w w:val="103"/>
        </w:rPr>
        <w:t>NS</w:t>
      </w:r>
      <w:r w:rsidRPr="00E6440F">
        <w:rPr>
          <w:rFonts w:ascii="Arial" w:hAnsi="Arial" w:cs="Arial"/>
          <w:b/>
          <w:bCs/>
          <w:w w:val="103"/>
        </w:rPr>
        <w:t>:</w:t>
      </w:r>
    </w:p>
    <w:p w14:paraId="430F935D" w14:textId="77777777" w:rsidR="004E1607" w:rsidRDefault="004E1607" w:rsidP="00823FC3">
      <w:pPr>
        <w:tabs>
          <w:tab w:val="left" w:pos="0"/>
        </w:tabs>
        <w:autoSpaceDE w:val="0"/>
        <w:autoSpaceDN w:val="0"/>
        <w:adjustRightInd w:val="0"/>
        <w:spacing w:before="4" w:after="0" w:line="240" w:lineRule="auto"/>
        <w:ind w:right="190"/>
        <w:rPr>
          <w:rFonts w:ascii="Arial" w:hAnsi="Arial" w:cs="Arial"/>
        </w:rPr>
      </w:pPr>
      <w:r>
        <w:rPr>
          <w:rFonts w:ascii="Arial" w:hAnsi="Arial" w:cs="Arial"/>
          <w:b/>
          <w:bCs/>
        </w:rPr>
        <w:t>Adverse Drug Reaction (ADR):</w:t>
      </w:r>
      <w:r w:rsidRPr="00E6440F">
        <w:rPr>
          <w:rFonts w:ascii="Arial" w:hAnsi="Arial" w:cs="Arial"/>
          <w:b/>
          <w:bCs/>
        </w:rPr>
        <w:t xml:space="preserve"> </w:t>
      </w:r>
      <w:r w:rsidRPr="00E6440F">
        <w:rPr>
          <w:rFonts w:ascii="Arial" w:hAnsi="Arial" w:cs="Arial"/>
        </w:rPr>
        <w:t>The World Health Organization (WHO) defines an ADR as “any response to a drug which is noxious and unintended and which occurs at doses normally used in man for prophylaxis, diagnosis, or therapy of disease or for the modification of physiologic function.”</w:t>
      </w:r>
    </w:p>
    <w:p w14:paraId="430F935E" w14:textId="77777777" w:rsidR="004E1607" w:rsidRDefault="004E1607" w:rsidP="002A704B">
      <w:pPr>
        <w:tabs>
          <w:tab w:val="left" w:pos="0"/>
        </w:tabs>
        <w:autoSpaceDE w:val="0"/>
        <w:autoSpaceDN w:val="0"/>
        <w:adjustRightInd w:val="0"/>
        <w:spacing w:before="4" w:after="0"/>
        <w:ind w:right="190"/>
        <w:rPr>
          <w:rFonts w:ascii="Arial" w:hAnsi="Arial" w:cs="Arial"/>
          <w:b/>
          <w:bCs/>
        </w:rPr>
      </w:pPr>
    </w:p>
    <w:p w14:paraId="430F935F" w14:textId="77777777" w:rsidR="004E1607" w:rsidRPr="004E1607" w:rsidRDefault="004E1607" w:rsidP="00823FC3">
      <w:pPr>
        <w:tabs>
          <w:tab w:val="left" w:pos="0"/>
        </w:tabs>
        <w:autoSpaceDE w:val="0"/>
        <w:autoSpaceDN w:val="0"/>
        <w:adjustRightInd w:val="0"/>
        <w:spacing w:before="4" w:after="0" w:line="240" w:lineRule="auto"/>
        <w:ind w:right="190"/>
        <w:rPr>
          <w:rFonts w:ascii="Arial" w:hAnsi="Arial" w:cs="Arial"/>
          <w:color w:val="000000"/>
        </w:rPr>
      </w:pPr>
      <w:r w:rsidRPr="00E6440F">
        <w:rPr>
          <w:rFonts w:ascii="Arial" w:hAnsi="Arial" w:cs="Arial"/>
          <w:b/>
          <w:bCs/>
        </w:rPr>
        <w:t>Adverse Event (AE):</w:t>
      </w:r>
      <w:r w:rsidRPr="00E6440F">
        <w:rPr>
          <w:rFonts w:ascii="Arial" w:hAnsi="Arial" w:cs="Arial"/>
          <w:bCs/>
        </w:rPr>
        <w:t xml:space="preserve"> </w:t>
      </w:r>
      <w:r>
        <w:rPr>
          <w:rFonts w:ascii="Arial" w:hAnsi="Arial" w:cs="Arial"/>
          <w:bCs/>
        </w:rPr>
        <w:t xml:space="preserve"> </w:t>
      </w:r>
      <w:r w:rsidRPr="00E6440F">
        <w:rPr>
          <w:rFonts w:ascii="Arial" w:hAnsi="Arial" w:cs="Arial"/>
          <w:bCs/>
        </w:rPr>
        <w:t>A</w:t>
      </w:r>
      <w:r w:rsidRPr="00E6440F">
        <w:rPr>
          <w:rFonts w:ascii="Arial" w:hAnsi="Arial" w:cs="Arial"/>
        </w:rPr>
        <w:t>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 AEs encompass both physical and psychological harms and are a subset of UPIRHSOs. One must determine whether the AE qualifies as an UPIRHSO by identifying if it meets the three criteria listed above.</w:t>
      </w:r>
    </w:p>
    <w:p w14:paraId="430F9360" w14:textId="77777777" w:rsidR="004E1607" w:rsidRDefault="004E1607" w:rsidP="00823FC3">
      <w:pPr>
        <w:pStyle w:val="left"/>
        <w:tabs>
          <w:tab w:val="left" w:pos="0"/>
        </w:tabs>
        <w:rPr>
          <w:rFonts w:ascii="Arial" w:hAnsi="Arial" w:cs="Arial"/>
          <w:sz w:val="22"/>
          <w:szCs w:val="22"/>
        </w:rPr>
      </w:pPr>
      <w:r w:rsidRPr="00E6440F">
        <w:rPr>
          <w:rFonts w:ascii="Arial" w:hAnsi="Arial" w:cs="Arial"/>
          <w:b/>
          <w:sz w:val="22"/>
          <w:szCs w:val="22"/>
        </w:rPr>
        <w:t>Case Report Form</w:t>
      </w:r>
      <w:r>
        <w:rPr>
          <w:rFonts w:ascii="Arial" w:hAnsi="Arial" w:cs="Arial"/>
          <w:b/>
          <w:sz w:val="22"/>
          <w:szCs w:val="22"/>
        </w:rPr>
        <w:t xml:space="preserve"> (CRF): </w:t>
      </w:r>
      <w:r w:rsidRPr="00E6440F">
        <w:rPr>
          <w:rFonts w:ascii="Arial" w:hAnsi="Arial" w:cs="Arial"/>
          <w:b/>
          <w:sz w:val="22"/>
          <w:szCs w:val="22"/>
        </w:rPr>
        <w:t xml:space="preserve"> </w:t>
      </w:r>
      <w:r w:rsidRPr="00E6440F">
        <w:rPr>
          <w:rFonts w:ascii="Arial" w:hAnsi="Arial" w:cs="Arial"/>
          <w:sz w:val="22"/>
          <w:szCs w:val="22"/>
        </w:rPr>
        <w:t>A paper or electronic questionnaire specifically used in clinical trial research. The CRF is the tool used by the sponsor of the clinical trial to collect data from each participating site. All data on each patient participating in a clinical trial are held and/or documented in the CRF, including adverse events.</w:t>
      </w:r>
    </w:p>
    <w:p w14:paraId="430F9361" w14:textId="33A8BBD5" w:rsidR="004E1607" w:rsidRDefault="004E1607" w:rsidP="00823FC3">
      <w:pPr>
        <w:pStyle w:val="left"/>
        <w:tabs>
          <w:tab w:val="left" w:pos="0"/>
        </w:tabs>
        <w:rPr>
          <w:rFonts w:ascii="Arial" w:hAnsi="Arial" w:cs="Arial"/>
          <w:sz w:val="22"/>
          <w:szCs w:val="22"/>
        </w:rPr>
      </w:pPr>
      <w:r w:rsidRPr="00E6440F">
        <w:rPr>
          <w:rFonts w:ascii="Arial" w:hAnsi="Arial" w:cs="Arial"/>
          <w:b/>
          <w:sz w:val="22"/>
          <w:szCs w:val="22"/>
        </w:rPr>
        <w:t>C</w:t>
      </w:r>
      <w:r w:rsidR="00467B4C">
        <w:rPr>
          <w:rFonts w:ascii="Arial" w:hAnsi="Arial" w:cs="Arial"/>
          <w:b/>
          <w:sz w:val="22"/>
          <w:szCs w:val="22"/>
        </w:rPr>
        <w:t>linical Research Organization (C</w:t>
      </w:r>
      <w:r w:rsidRPr="00E6440F">
        <w:rPr>
          <w:rFonts w:ascii="Arial" w:hAnsi="Arial" w:cs="Arial"/>
          <w:b/>
          <w:sz w:val="22"/>
          <w:szCs w:val="22"/>
        </w:rPr>
        <w:t>RO</w:t>
      </w:r>
      <w:r w:rsidR="00467B4C">
        <w:rPr>
          <w:rFonts w:ascii="Arial" w:hAnsi="Arial" w:cs="Arial"/>
          <w:b/>
          <w:sz w:val="22"/>
          <w:szCs w:val="22"/>
        </w:rPr>
        <w:t>)</w:t>
      </w:r>
      <w:r>
        <w:rPr>
          <w:rFonts w:ascii="Arial" w:hAnsi="Arial" w:cs="Arial"/>
          <w:b/>
          <w:sz w:val="22"/>
          <w:szCs w:val="22"/>
        </w:rPr>
        <w:t xml:space="preserve">: </w:t>
      </w:r>
      <w:r w:rsidRPr="00E6440F">
        <w:rPr>
          <w:rFonts w:ascii="Arial" w:hAnsi="Arial" w:cs="Arial"/>
          <w:b/>
          <w:sz w:val="22"/>
          <w:szCs w:val="22"/>
        </w:rPr>
        <w:t xml:space="preserve"> </w:t>
      </w:r>
      <w:r w:rsidR="00467B4C">
        <w:rPr>
          <w:rFonts w:ascii="Arial" w:hAnsi="Arial" w:cs="Arial"/>
          <w:sz w:val="22"/>
          <w:szCs w:val="22"/>
        </w:rPr>
        <w:t>An entity</w:t>
      </w:r>
      <w:r w:rsidRPr="00E6440F">
        <w:rPr>
          <w:rFonts w:ascii="Arial" w:hAnsi="Arial" w:cs="Arial"/>
          <w:sz w:val="22"/>
          <w:szCs w:val="22"/>
        </w:rPr>
        <w:t xml:space="preserve"> that assumes one or more of the obligations of a Sponsor, as an independent contractor to the Sponsor.  </w:t>
      </w:r>
    </w:p>
    <w:p w14:paraId="430F9362" w14:textId="77777777" w:rsidR="004E1607" w:rsidRPr="004E1607" w:rsidRDefault="004E1607" w:rsidP="002A704B">
      <w:pPr>
        <w:pStyle w:val="left"/>
        <w:tabs>
          <w:tab w:val="left" w:pos="0"/>
        </w:tabs>
        <w:rPr>
          <w:rFonts w:ascii="Arial" w:hAnsi="Arial" w:cs="Arial"/>
          <w:sz w:val="22"/>
          <w:szCs w:val="22"/>
        </w:rPr>
      </w:pPr>
      <w:r w:rsidRPr="00E6440F">
        <w:rPr>
          <w:rFonts w:ascii="Arial" w:hAnsi="Arial" w:cs="Arial"/>
          <w:b/>
          <w:sz w:val="22"/>
          <w:szCs w:val="22"/>
        </w:rPr>
        <w:t>Internal Adverse Event</w:t>
      </w:r>
      <w:r w:rsidRPr="00E6440F">
        <w:rPr>
          <w:rFonts w:ascii="Arial" w:hAnsi="Arial" w:cs="Arial"/>
          <w:sz w:val="22"/>
          <w:szCs w:val="22"/>
        </w:rPr>
        <w:t>: Any unfavorable event related to the research procedure(s)that occurs to a USF research participant in a study approved by the USF IRB (both single site and multi-center) and that has a USF or USF Affiliate institution's faculty, staff, or student acting as Principal Investigator.</w:t>
      </w:r>
    </w:p>
    <w:p w14:paraId="430F9363" w14:textId="77777777" w:rsidR="00465B0E" w:rsidRDefault="00465B0E" w:rsidP="002A704B">
      <w:pPr>
        <w:tabs>
          <w:tab w:val="left" w:pos="0"/>
        </w:tabs>
        <w:autoSpaceDE w:val="0"/>
        <w:autoSpaceDN w:val="0"/>
        <w:adjustRightInd w:val="0"/>
        <w:spacing w:before="4" w:after="0" w:line="240" w:lineRule="auto"/>
        <w:ind w:right="-20"/>
        <w:rPr>
          <w:rFonts w:ascii="Arial" w:hAnsi="Arial" w:cs="Arial"/>
          <w:b/>
          <w:bCs/>
          <w:spacing w:val="2"/>
          <w:w w:val="103"/>
        </w:rPr>
      </w:pPr>
    </w:p>
    <w:p w14:paraId="430F9364" w14:textId="77777777" w:rsidR="00465B0E" w:rsidRDefault="00465B0E" w:rsidP="002A704B">
      <w:pPr>
        <w:tabs>
          <w:tab w:val="left" w:pos="0"/>
        </w:tabs>
        <w:autoSpaceDE w:val="0"/>
        <w:autoSpaceDN w:val="0"/>
        <w:adjustRightInd w:val="0"/>
        <w:spacing w:before="4" w:after="0" w:line="240" w:lineRule="auto"/>
        <w:ind w:right="-20"/>
        <w:rPr>
          <w:rFonts w:ascii="Arial" w:hAnsi="Arial" w:cs="Arial"/>
          <w:b/>
          <w:bCs/>
          <w:spacing w:val="2"/>
          <w:w w:val="103"/>
        </w:rPr>
      </w:pPr>
    </w:p>
    <w:p w14:paraId="6B3AA6A7" w14:textId="77777777" w:rsidR="00467B4C" w:rsidRDefault="00467B4C" w:rsidP="002A704B">
      <w:pPr>
        <w:tabs>
          <w:tab w:val="left" w:pos="0"/>
        </w:tabs>
        <w:autoSpaceDE w:val="0"/>
        <w:autoSpaceDN w:val="0"/>
        <w:adjustRightInd w:val="0"/>
        <w:spacing w:before="4" w:after="0" w:line="240" w:lineRule="auto"/>
        <w:ind w:right="-20"/>
        <w:rPr>
          <w:rFonts w:ascii="Arial" w:hAnsi="Arial" w:cs="Arial"/>
          <w:b/>
          <w:bCs/>
          <w:spacing w:val="2"/>
          <w:w w:val="103"/>
        </w:rPr>
      </w:pPr>
    </w:p>
    <w:p w14:paraId="49B69FCA" w14:textId="77777777" w:rsidR="00823FC3" w:rsidRDefault="00823FC3" w:rsidP="002A704B">
      <w:pPr>
        <w:tabs>
          <w:tab w:val="left" w:pos="0"/>
        </w:tabs>
        <w:autoSpaceDE w:val="0"/>
        <w:autoSpaceDN w:val="0"/>
        <w:adjustRightInd w:val="0"/>
        <w:spacing w:before="4" w:after="0" w:line="240" w:lineRule="auto"/>
        <w:ind w:right="-20"/>
        <w:rPr>
          <w:rFonts w:ascii="Arial" w:hAnsi="Arial" w:cs="Arial"/>
          <w:b/>
          <w:bCs/>
          <w:spacing w:val="2"/>
          <w:w w:val="103"/>
        </w:rPr>
      </w:pPr>
    </w:p>
    <w:p w14:paraId="4681B5F2" w14:textId="77777777" w:rsidR="00263F75" w:rsidRDefault="00263F75" w:rsidP="002A704B">
      <w:pPr>
        <w:tabs>
          <w:tab w:val="left" w:pos="0"/>
        </w:tabs>
        <w:autoSpaceDE w:val="0"/>
        <w:autoSpaceDN w:val="0"/>
        <w:adjustRightInd w:val="0"/>
        <w:spacing w:before="4" w:after="0" w:line="240" w:lineRule="auto"/>
        <w:ind w:right="-20"/>
        <w:rPr>
          <w:rFonts w:ascii="Arial" w:hAnsi="Arial" w:cs="Arial"/>
          <w:b/>
          <w:bCs/>
          <w:spacing w:val="2"/>
          <w:w w:val="103"/>
        </w:rPr>
      </w:pPr>
    </w:p>
    <w:p w14:paraId="430F9366" w14:textId="77777777" w:rsidR="004E1607" w:rsidRPr="00E6440F" w:rsidRDefault="004E1607" w:rsidP="002A704B">
      <w:pPr>
        <w:tabs>
          <w:tab w:val="left" w:pos="0"/>
        </w:tabs>
        <w:autoSpaceDE w:val="0"/>
        <w:autoSpaceDN w:val="0"/>
        <w:adjustRightInd w:val="0"/>
        <w:spacing w:before="4" w:after="0" w:line="240" w:lineRule="auto"/>
        <w:ind w:right="-20"/>
        <w:rPr>
          <w:rFonts w:ascii="Arial" w:hAnsi="Arial" w:cs="Arial"/>
          <w:b/>
          <w:bCs/>
          <w:spacing w:val="2"/>
          <w:w w:val="103"/>
        </w:rPr>
      </w:pPr>
      <w:r w:rsidRPr="00E6440F">
        <w:rPr>
          <w:rFonts w:ascii="Arial" w:hAnsi="Arial" w:cs="Arial"/>
          <w:b/>
          <w:bCs/>
          <w:spacing w:val="2"/>
          <w:w w:val="103"/>
        </w:rPr>
        <w:lastRenderedPageBreak/>
        <w:t>DEFINITIONS (cont.):</w:t>
      </w:r>
    </w:p>
    <w:p w14:paraId="430F9367" w14:textId="77777777" w:rsidR="004E1607" w:rsidRPr="00E6440F" w:rsidRDefault="004E1607" w:rsidP="002A704B">
      <w:pPr>
        <w:pStyle w:val="left"/>
        <w:tabs>
          <w:tab w:val="left" w:pos="0"/>
        </w:tabs>
        <w:rPr>
          <w:rFonts w:ascii="Arial" w:hAnsi="Arial" w:cs="Arial"/>
          <w:sz w:val="22"/>
          <w:szCs w:val="22"/>
        </w:rPr>
      </w:pPr>
      <w:r w:rsidRPr="00E6440F">
        <w:rPr>
          <w:rFonts w:ascii="Arial" w:hAnsi="Arial" w:cs="Arial"/>
          <w:b/>
          <w:sz w:val="22"/>
          <w:szCs w:val="22"/>
        </w:rPr>
        <w:t>External Event</w:t>
      </w:r>
      <w:r>
        <w:rPr>
          <w:rFonts w:ascii="Arial" w:hAnsi="Arial" w:cs="Arial"/>
          <w:sz w:val="22"/>
          <w:szCs w:val="22"/>
        </w:rPr>
        <w:t xml:space="preserve">: </w:t>
      </w:r>
      <w:r w:rsidRPr="00E6440F">
        <w:rPr>
          <w:rFonts w:ascii="Arial" w:hAnsi="Arial" w:cs="Arial"/>
          <w:sz w:val="22"/>
          <w:szCs w:val="22"/>
        </w:rPr>
        <w:t xml:space="preserve"> An event that occurs to a research participant enrolled at a study site under the jurisdiction of another IRB at another institution (non-USF or USF-Affiliate). A summary of these events are submitted to the USF IRB at the time of continuing review.</w:t>
      </w:r>
    </w:p>
    <w:p w14:paraId="430F9368" w14:textId="77777777" w:rsidR="004E1607" w:rsidRDefault="004E1607" w:rsidP="002A704B">
      <w:pPr>
        <w:tabs>
          <w:tab w:val="left" w:pos="0"/>
        </w:tabs>
        <w:autoSpaceDE w:val="0"/>
        <w:autoSpaceDN w:val="0"/>
        <w:adjustRightInd w:val="0"/>
        <w:spacing w:after="0" w:line="240" w:lineRule="auto"/>
        <w:rPr>
          <w:rFonts w:ascii="Arial" w:hAnsi="Arial" w:cs="Arial"/>
          <w:bCs/>
        </w:rPr>
      </w:pPr>
      <w:r w:rsidRPr="00E6440F">
        <w:rPr>
          <w:rFonts w:ascii="Arial" w:hAnsi="Arial" w:cs="Arial"/>
          <w:b/>
          <w:bCs/>
        </w:rPr>
        <w:t>In</w:t>
      </w:r>
      <w:r>
        <w:rPr>
          <w:rFonts w:ascii="Arial" w:hAnsi="Arial" w:cs="Arial"/>
          <w:b/>
          <w:bCs/>
        </w:rPr>
        <w:t xml:space="preserve">stitutional Review Board (IRB): </w:t>
      </w:r>
      <w:r w:rsidRPr="00E6440F">
        <w:rPr>
          <w:rFonts w:ascii="Arial" w:hAnsi="Arial" w:cs="Arial"/>
          <w:b/>
          <w:bCs/>
        </w:rPr>
        <w:t xml:space="preserve"> </w:t>
      </w:r>
      <w:r w:rsidRPr="00E6440F">
        <w:rPr>
          <w:rFonts w:ascii="Arial" w:hAnsi="Arial" w:cs="Arial"/>
          <w:bCs/>
        </w:rPr>
        <w:t>An independent body constituted of medical, scientific, and non-scientific members, whose responsibility is to ensure the protection of the rights, safety and well-being of human subjects involved in a trial by, among other things, reviewing, approving, and providing continuing review of trial protocol and amendments and of the methods and material to be used in obtaining and documenting informed consent of the trial subjects.</w:t>
      </w:r>
    </w:p>
    <w:p w14:paraId="430F9369" w14:textId="77777777" w:rsidR="004E1607" w:rsidRPr="00465B0E" w:rsidRDefault="00465B0E" w:rsidP="002A704B">
      <w:pPr>
        <w:pStyle w:val="left"/>
        <w:tabs>
          <w:tab w:val="left" w:pos="0"/>
        </w:tabs>
        <w:rPr>
          <w:rFonts w:ascii="Arial" w:hAnsi="Arial" w:cs="Arial"/>
          <w:sz w:val="22"/>
          <w:szCs w:val="22"/>
        </w:rPr>
      </w:pPr>
      <w:r w:rsidRPr="00E6440F">
        <w:rPr>
          <w:rFonts w:ascii="Arial" w:hAnsi="Arial" w:cs="Arial"/>
          <w:b/>
          <w:bCs/>
          <w:sz w:val="22"/>
          <w:szCs w:val="22"/>
        </w:rPr>
        <w:t>Office for Human Research Protections (OHRP)</w:t>
      </w:r>
      <w:r>
        <w:rPr>
          <w:rFonts w:ascii="Arial" w:hAnsi="Arial" w:cs="Arial"/>
          <w:b/>
          <w:bCs/>
          <w:sz w:val="22"/>
          <w:szCs w:val="22"/>
        </w:rPr>
        <w:t xml:space="preserve">: </w:t>
      </w:r>
      <w:r w:rsidRPr="00E6440F">
        <w:rPr>
          <w:rFonts w:ascii="Arial" w:hAnsi="Arial" w:cs="Arial"/>
          <w:bCs/>
          <w:sz w:val="22"/>
          <w:szCs w:val="22"/>
        </w:rPr>
        <w:t>An office within the U.S.</w:t>
      </w:r>
      <w:r w:rsidRPr="00E6440F">
        <w:rPr>
          <w:rFonts w:ascii="Arial" w:hAnsi="Arial" w:cs="Arial"/>
          <w:sz w:val="22"/>
          <w:szCs w:val="22"/>
        </w:rPr>
        <w:t xml:space="preserve"> Department of Health and Human Services (HHS) that provides leadership in the protection of the rights, welfare, and wellbeing of subjects involved in research. OHRP helps ensure this by providing clarification and guidance, developing educational programs and materials, maintaining regulatory oversight, and providing advice on ethical and regulatory issues in biomedical and social-behavioral research.</w:t>
      </w:r>
    </w:p>
    <w:p w14:paraId="430F936A" w14:textId="77777777" w:rsidR="004E1607" w:rsidRPr="00E6440F" w:rsidRDefault="004E1607" w:rsidP="002A704B">
      <w:pPr>
        <w:tabs>
          <w:tab w:val="left" w:pos="0"/>
        </w:tabs>
        <w:autoSpaceDE w:val="0"/>
        <w:autoSpaceDN w:val="0"/>
        <w:adjustRightInd w:val="0"/>
        <w:spacing w:after="0" w:line="240" w:lineRule="auto"/>
        <w:rPr>
          <w:rFonts w:ascii="Arial" w:hAnsi="Arial" w:cs="Arial"/>
        </w:rPr>
      </w:pPr>
      <w:r w:rsidRPr="00E6440F">
        <w:rPr>
          <w:rFonts w:ascii="Arial" w:hAnsi="Arial" w:cs="Arial"/>
          <w:b/>
          <w:bCs/>
        </w:rPr>
        <w:t>Serious Adverse Event (SAE)</w:t>
      </w:r>
      <w:r w:rsidR="00465B0E">
        <w:rPr>
          <w:rFonts w:ascii="Arial" w:hAnsi="Arial" w:cs="Arial"/>
        </w:rPr>
        <w:t xml:space="preserve">: </w:t>
      </w:r>
      <w:r w:rsidRPr="00E6440F">
        <w:rPr>
          <w:rFonts w:ascii="Arial" w:hAnsi="Arial" w:cs="Arial"/>
        </w:rPr>
        <w:t xml:space="preserve"> An adverse event occurring at any dose or level of intervention that results in any of the following outcomes:</w:t>
      </w:r>
    </w:p>
    <w:p w14:paraId="430F936B" w14:textId="77777777" w:rsidR="004E1607" w:rsidRPr="00E6440F" w:rsidRDefault="004E1607" w:rsidP="002A704B">
      <w:pPr>
        <w:pStyle w:val="ListParagraph"/>
        <w:numPr>
          <w:ilvl w:val="0"/>
          <w:numId w:val="4"/>
        </w:numPr>
        <w:tabs>
          <w:tab w:val="left" w:pos="360"/>
        </w:tabs>
        <w:autoSpaceDE w:val="0"/>
        <w:autoSpaceDN w:val="0"/>
        <w:adjustRightInd w:val="0"/>
        <w:spacing w:after="0" w:line="240" w:lineRule="auto"/>
        <w:ind w:left="0" w:firstLine="0"/>
        <w:rPr>
          <w:rFonts w:ascii="Arial" w:hAnsi="Arial" w:cs="Arial"/>
        </w:rPr>
      </w:pPr>
      <w:r w:rsidRPr="00E6440F">
        <w:rPr>
          <w:rFonts w:ascii="Arial" w:hAnsi="Arial" w:cs="Arial"/>
        </w:rPr>
        <w:t>Death</w:t>
      </w:r>
    </w:p>
    <w:p w14:paraId="430F936C" w14:textId="77777777" w:rsidR="004E1607" w:rsidRPr="00E6440F" w:rsidRDefault="004E1607" w:rsidP="002A704B">
      <w:pPr>
        <w:pStyle w:val="ListParagraph"/>
        <w:numPr>
          <w:ilvl w:val="0"/>
          <w:numId w:val="4"/>
        </w:numPr>
        <w:tabs>
          <w:tab w:val="left" w:pos="360"/>
        </w:tabs>
        <w:autoSpaceDE w:val="0"/>
        <w:autoSpaceDN w:val="0"/>
        <w:adjustRightInd w:val="0"/>
        <w:spacing w:after="0" w:line="240" w:lineRule="auto"/>
        <w:ind w:left="0" w:firstLine="0"/>
        <w:rPr>
          <w:rFonts w:ascii="Arial" w:hAnsi="Arial" w:cs="Arial"/>
        </w:rPr>
      </w:pPr>
      <w:r w:rsidRPr="00E6440F">
        <w:rPr>
          <w:rFonts w:ascii="Arial" w:hAnsi="Arial" w:cs="Arial"/>
        </w:rPr>
        <w:t>A life threatening event</w:t>
      </w:r>
    </w:p>
    <w:p w14:paraId="430F936D" w14:textId="77777777" w:rsidR="004E1607" w:rsidRPr="00E6440F" w:rsidRDefault="004E1607" w:rsidP="002A704B">
      <w:pPr>
        <w:pStyle w:val="ListParagraph"/>
        <w:numPr>
          <w:ilvl w:val="0"/>
          <w:numId w:val="4"/>
        </w:numPr>
        <w:autoSpaceDE w:val="0"/>
        <w:autoSpaceDN w:val="0"/>
        <w:adjustRightInd w:val="0"/>
        <w:spacing w:after="0" w:line="240" w:lineRule="auto"/>
        <w:rPr>
          <w:rFonts w:ascii="Arial" w:hAnsi="Arial" w:cs="Arial"/>
        </w:rPr>
      </w:pPr>
      <w:r w:rsidRPr="00E6440F">
        <w:rPr>
          <w:rFonts w:ascii="Arial" w:hAnsi="Arial" w:cs="Arial"/>
        </w:rPr>
        <w:t>Requires or prolongs inpatient hospitalization</w:t>
      </w:r>
    </w:p>
    <w:p w14:paraId="430F936E" w14:textId="77777777" w:rsidR="004E1607" w:rsidRPr="00E6440F" w:rsidRDefault="004E1607" w:rsidP="002A704B">
      <w:pPr>
        <w:pStyle w:val="ListParagraph"/>
        <w:numPr>
          <w:ilvl w:val="0"/>
          <w:numId w:val="4"/>
        </w:numPr>
        <w:tabs>
          <w:tab w:val="left" w:pos="360"/>
        </w:tabs>
        <w:autoSpaceDE w:val="0"/>
        <w:autoSpaceDN w:val="0"/>
        <w:adjustRightInd w:val="0"/>
        <w:spacing w:after="0" w:line="240" w:lineRule="auto"/>
        <w:ind w:left="0" w:firstLine="0"/>
        <w:rPr>
          <w:rFonts w:ascii="Arial" w:hAnsi="Arial" w:cs="Arial"/>
        </w:rPr>
      </w:pPr>
      <w:r w:rsidRPr="00E6440F">
        <w:rPr>
          <w:rFonts w:ascii="Arial" w:hAnsi="Arial" w:cs="Arial"/>
        </w:rPr>
        <w:t>Persistent or significant disability / incapacity</w:t>
      </w:r>
    </w:p>
    <w:p w14:paraId="430F936F" w14:textId="77777777" w:rsidR="004E1607" w:rsidRPr="00E6440F" w:rsidRDefault="004E1607" w:rsidP="002A704B">
      <w:pPr>
        <w:pStyle w:val="ListParagraph"/>
        <w:numPr>
          <w:ilvl w:val="0"/>
          <w:numId w:val="4"/>
        </w:numPr>
        <w:tabs>
          <w:tab w:val="left" w:pos="360"/>
        </w:tabs>
        <w:autoSpaceDE w:val="0"/>
        <w:autoSpaceDN w:val="0"/>
        <w:adjustRightInd w:val="0"/>
        <w:spacing w:after="0" w:line="240" w:lineRule="auto"/>
        <w:ind w:left="0" w:firstLine="0"/>
        <w:rPr>
          <w:rFonts w:ascii="Arial" w:hAnsi="Arial" w:cs="Arial"/>
        </w:rPr>
      </w:pPr>
      <w:r w:rsidRPr="00E6440F">
        <w:rPr>
          <w:rFonts w:ascii="Arial" w:hAnsi="Arial" w:cs="Arial"/>
        </w:rPr>
        <w:t>A congenital anomaly or birth defect</w:t>
      </w:r>
    </w:p>
    <w:p w14:paraId="430F9370" w14:textId="77777777" w:rsidR="004E1607" w:rsidRPr="00E6440F" w:rsidRDefault="004E1607" w:rsidP="002A704B">
      <w:pPr>
        <w:pStyle w:val="ListParagraph"/>
        <w:numPr>
          <w:ilvl w:val="0"/>
          <w:numId w:val="4"/>
        </w:numPr>
        <w:tabs>
          <w:tab w:val="left" w:pos="360"/>
        </w:tabs>
        <w:autoSpaceDE w:val="0"/>
        <w:autoSpaceDN w:val="0"/>
        <w:adjustRightInd w:val="0"/>
        <w:spacing w:after="0" w:line="240" w:lineRule="auto"/>
        <w:ind w:left="0" w:firstLine="0"/>
        <w:rPr>
          <w:rFonts w:ascii="Arial" w:hAnsi="Arial" w:cs="Arial"/>
        </w:rPr>
      </w:pPr>
      <w:r w:rsidRPr="00E6440F">
        <w:rPr>
          <w:rFonts w:ascii="Arial" w:hAnsi="Arial" w:cs="Arial"/>
        </w:rPr>
        <w:t>Medical important events</w:t>
      </w:r>
    </w:p>
    <w:p w14:paraId="430F9371" w14:textId="77777777" w:rsidR="004E1607" w:rsidRDefault="004E1607" w:rsidP="002A704B">
      <w:pPr>
        <w:pStyle w:val="left"/>
        <w:tabs>
          <w:tab w:val="left" w:pos="0"/>
        </w:tabs>
        <w:rPr>
          <w:rFonts w:ascii="Arial" w:hAnsi="Arial" w:cs="Arial"/>
          <w:sz w:val="22"/>
          <w:szCs w:val="22"/>
        </w:rPr>
      </w:pPr>
      <w:r>
        <w:rPr>
          <w:rFonts w:ascii="Arial" w:hAnsi="Arial" w:cs="Arial"/>
          <w:b/>
          <w:sz w:val="22"/>
          <w:szCs w:val="22"/>
        </w:rPr>
        <w:t>Source Documents:</w:t>
      </w:r>
      <w:r w:rsidRPr="00E6440F">
        <w:rPr>
          <w:rFonts w:ascii="Arial" w:hAnsi="Arial" w:cs="Arial"/>
          <w:b/>
          <w:sz w:val="22"/>
          <w:szCs w:val="22"/>
        </w:rPr>
        <w:t xml:space="preserve"> </w:t>
      </w:r>
      <w:r w:rsidRPr="00E6440F">
        <w:rPr>
          <w:rFonts w:ascii="Arial" w:hAnsi="Arial" w:cs="Arial"/>
          <w:sz w:val="22"/>
          <w:szCs w:val="22"/>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w:t>
      </w:r>
    </w:p>
    <w:p w14:paraId="430F9372" w14:textId="77777777" w:rsidR="004E1607" w:rsidRPr="00E6440F" w:rsidRDefault="004E1607" w:rsidP="002A704B">
      <w:pPr>
        <w:pStyle w:val="left"/>
        <w:tabs>
          <w:tab w:val="left" w:pos="0"/>
        </w:tabs>
        <w:rPr>
          <w:rFonts w:ascii="Arial" w:hAnsi="Arial" w:cs="Arial"/>
          <w:sz w:val="22"/>
          <w:szCs w:val="22"/>
        </w:rPr>
      </w:pPr>
      <w:r w:rsidRPr="00E6440F">
        <w:rPr>
          <w:rFonts w:ascii="Arial" w:hAnsi="Arial" w:cs="Arial"/>
          <w:b/>
          <w:sz w:val="22"/>
          <w:szCs w:val="22"/>
        </w:rPr>
        <w:t>Sponsor</w:t>
      </w:r>
      <w:r>
        <w:rPr>
          <w:rFonts w:ascii="Arial" w:hAnsi="Arial" w:cs="Arial"/>
          <w:b/>
          <w:sz w:val="22"/>
          <w:szCs w:val="22"/>
        </w:rPr>
        <w:t xml:space="preserve">: </w:t>
      </w:r>
      <w:r w:rsidRPr="00E6440F">
        <w:rPr>
          <w:rFonts w:ascii="Arial" w:hAnsi="Arial" w:cs="Arial"/>
          <w:b/>
          <w:sz w:val="22"/>
          <w:szCs w:val="22"/>
        </w:rPr>
        <w:t xml:space="preserve"> </w:t>
      </w:r>
      <w:r w:rsidRPr="00E6440F">
        <w:rPr>
          <w:rFonts w:ascii="Arial" w:hAnsi="Arial" w:cs="Arial"/>
          <w:sz w:val="22"/>
          <w:szCs w:val="22"/>
        </w:rPr>
        <w:t>An</w:t>
      </w:r>
      <w:r w:rsidRPr="00E6440F">
        <w:rPr>
          <w:rFonts w:ascii="Arial" w:hAnsi="Arial" w:cs="Arial"/>
          <w:b/>
          <w:sz w:val="22"/>
          <w:szCs w:val="22"/>
        </w:rPr>
        <w:t xml:space="preserve"> </w:t>
      </w:r>
      <w:r w:rsidRPr="00E6440F">
        <w:rPr>
          <w:rFonts w:ascii="Arial" w:hAnsi="Arial" w:cs="Arial"/>
          <w:sz w:val="22"/>
          <w:szCs w:val="22"/>
        </w:rPr>
        <w:t>individual, co</w:t>
      </w:r>
      <w:r w:rsidRPr="00E6440F">
        <w:rPr>
          <w:rFonts w:ascii="Arial" w:hAnsi="Arial" w:cs="Arial"/>
          <w:spacing w:val="1"/>
          <w:sz w:val="22"/>
          <w:szCs w:val="22"/>
        </w:rPr>
        <w:t>m</w:t>
      </w:r>
      <w:r w:rsidRPr="00E6440F">
        <w:rPr>
          <w:rFonts w:ascii="Arial" w:hAnsi="Arial" w:cs="Arial"/>
          <w:spacing w:val="-1"/>
          <w:sz w:val="22"/>
          <w:szCs w:val="22"/>
        </w:rPr>
        <w:t>p</w:t>
      </w:r>
      <w:r w:rsidRPr="00E6440F">
        <w:rPr>
          <w:rFonts w:ascii="Arial" w:hAnsi="Arial" w:cs="Arial"/>
          <w:spacing w:val="1"/>
          <w:sz w:val="22"/>
          <w:szCs w:val="22"/>
        </w:rPr>
        <w:t>a</w:t>
      </w:r>
      <w:r w:rsidRPr="00E6440F">
        <w:rPr>
          <w:rFonts w:ascii="Arial" w:hAnsi="Arial" w:cs="Arial"/>
          <w:spacing w:val="-1"/>
          <w:sz w:val="22"/>
          <w:szCs w:val="22"/>
        </w:rPr>
        <w:t>n</w:t>
      </w:r>
      <w:r w:rsidRPr="00E6440F">
        <w:rPr>
          <w:rFonts w:ascii="Arial" w:hAnsi="Arial" w:cs="Arial"/>
          <w:sz w:val="22"/>
          <w:szCs w:val="22"/>
        </w:rPr>
        <w:t>y, in</w:t>
      </w:r>
      <w:r w:rsidRPr="00E6440F">
        <w:rPr>
          <w:rFonts w:ascii="Arial" w:hAnsi="Arial" w:cs="Arial"/>
          <w:spacing w:val="1"/>
          <w:sz w:val="22"/>
          <w:szCs w:val="22"/>
        </w:rPr>
        <w:t>s</w:t>
      </w:r>
      <w:r w:rsidRPr="00E6440F">
        <w:rPr>
          <w:rFonts w:ascii="Arial" w:hAnsi="Arial" w:cs="Arial"/>
          <w:sz w:val="22"/>
          <w:szCs w:val="22"/>
        </w:rPr>
        <w:t>titut</w:t>
      </w:r>
      <w:r w:rsidRPr="00E6440F">
        <w:rPr>
          <w:rFonts w:ascii="Arial" w:hAnsi="Arial" w:cs="Arial"/>
          <w:spacing w:val="2"/>
          <w:sz w:val="22"/>
          <w:szCs w:val="22"/>
        </w:rPr>
        <w:t>i</w:t>
      </w:r>
      <w:r w:rsidRPr="00E6440F">
        <w:rPr>
          <w:rFonts w:ascii="Arial" w:hAnsi="Arial" w:cs="Arial"/>
          <w:sz w:val="22"/>
          <w:szCs w:val="22"/>
        </w:rPr>
        <w:t>on, o</w:t>
      </w:r>
      <w:r w:rsidRPr="00E6440F">
        <w:rPr>
          <w:rFonts w:ascii="Arial" w:hAnsi="Arial" w:cs="Arial"/>
          <w:spacing w:val="1"/>
          <w:sz w:val="22"/>
          <w:szCs w:val="22"/>
        </w:rPr>
        <w:t>r</w:t>
      </w:r>
      <w:r w:rsidRPr="00E6440F">
        <w:rPr>
          <w:rFonts w:ascii="Arial" w:hAnsi="Arial" w:cs="Arial"/>
          <w:sz w:val="22"/>
          <w:szCs w:val="22"/>
        </w:rPr>
        <w:t>gani</w:t>
      </w:r>
      <w:r w:rsidRPr="00E6440F">
        <w:rPr>
          <w:rFonts w:ascii="Arial" w:hAnsi="Arial" w:cs="Arial"/>
          <w:spacing w:val="1"/>
          <w:sz w:val="22"/>
          <w:szCs w:val="22"/>
        </w:rPr>
        <w:t>z</w:t>
      </w:r>
      <w:r w:rsidRPr="00E6440F">
        <w:rPr>
          <w:rFonts w:ascii="Arial" w:hAnsi="Arial" w:cs="Arial"/>
          <w:sz w:val="22"/>
          <w:szCs w:val="22"/>
        </w:rPr>
        <w:t>at</w:t>
      </w:r>
      <w:r w:rsidRPr="00E6440F">
        <w:rPr>
          <w:rFonts w:ascii="Arial" w:hAnsi="Arial" w:cs="Arial"/>
          <w:spacing w:val="1"/>
          <w:sz w:val="22"/>
          <w:szCs w:val="22"/>
        </w:rPr>
        <w:t>i</w:t>
      </w:r>
      <w:r w:rsidRPr="00E6440F">
        <w:rPr>
          <w:rFonts w:ascii="Arial" w:hAnsi="Arial" w:cs="Arial"/>
          <w:sz w:val="22"/>
          <w:szCs w:val="22"/>
        </w:rPr>
        <w:t>on t</w:t>
      </w:r>
      <w:r w:rsidRPr="00E6440F">
        <w:rPr>
          <w:rFonts w:ascii="Arial" w:hAnsi="Arial" w:cs="Arial"/>
          <w:spacing w:val="1"/>
          <w:sz w:val="22"/>
          <w:szCs w:val="22"/>
        </w:rPr>
        <w:t>ha</w:t>
      </w:r>
      <w:r w:rsidRPr="00E6440F">
        <w:rPr>
          <w:rFonts w:ascii="Arial" w:hAnsi="Arial" w:cs="Arial"/>
          <w:sz w:val="22"/>
          <w:szCs w:val="22"/>
        </w:rPr>
        <w:t>t takes responsibil</w:t>
      </w:r>
      <w:r w:rsidRPr="00E6440F">
        <w:rPr>
          <w:rFonts w:ascii="Arial" w:hAnsi="Arial" w:cs="Arial"/>
          <w:spacing w:val="1"/>
          <w:sz w:val="22"/>
          <w:szCs w:val="22"/>
        </w:rPr>
        <w:t>i</w:t>
      </w:r>
      <w:r w:rsidRPr="00E6440F">
        <w:rPr>
          <w:rFonts w:ascii="Arial" w:hAnsi="Arial" w:cs="Arial"/>
          <w:sz w:val="22"/>
          <w:szCs w:val="22"/>
        </w:rPr>
        <w:t>ty for the initiation, management, and/or financing of the research.</w:t>
      </w:r>
    </w:p>
    <w:p w14:paraId="4FE38190" w14:textId="77777777" w:rsidR="00C83CE2" w:rsidRDefault="004E1607" w:rsidP="002A704B">
      <w:pPr>
        <w:pStyle w:val="left"/>
        <w:tabs>
          <w:tab w:val="left" w:pos="0"/>
        </w:tabs>
      </w:pPr>
      <w:r w:rsidRPr="00E6440F">
        <w:rPr>
          <w:rFonts w:ascii="Arial" w:hAnsi="Arial" w:cs="Arial"/>
          <w:b/>
          <w:sz w:val="22"/>
          <w:szCs w:val="22"/>
        </w:rPr>
        <w:t>Unanticipated or Unexpected Adverse Event</w:t>
      </w:r>
      <w:r>
        <w:rPr>
          <w:rFonts w:ascii="Arial" w:hAnsi="Arial" w:cs="Arial"/>
          <w:sz w:val="22"/>
          <w:szCs w:val="22"/>
        </w:rPr>
        <w:t>:</w:t>
      </w:r>
      <w:r w:rsidRPr="00E6440F">
        <w:rPr>
          <w:rFonts w:ascii="Arial" w:hAnsi="Arial" w:cs="Arial"/>
          <w:sz w:val="22"/>
          <w:szCs w:val="22"/>
        </w:rPr>
        <w:t xml:space="preserve"> Any research-related event which in the opinion of the Principal Investigator was unforeseen at the time of its occurrence and involved risks to participants or others. An unanticipated event may be symptomatically and pathophysiologically related to an event listed in the labeling but differs because of greater specificity or severity (21 CFR 56 Preamble).</w:t>
      </w:r>
      <w:r w:rsidR="00C83CE2" w:rsidRPr="00C83CE2">
        <w:t xml:space="preserve"> </w:t>
      </w:r>
    </w:p>
    <w:p w14:paraId="02BFFD98" w14:textId="77777777" w:rsidR="00C83CE2" w:rsidRDefault="00C83CE2" w:rsidP="002A704B">
      <w:pPr>
        <w:pStyle w:val="left"/>
        <w:tabs>
          <w:tab w:val="left" w:pos="0"/>
        </w:tabs>
      </w:pPr>
    </w:p>
    <w:p w14:paraId="430F9373" w14:textId="1A7055FC" w:rsidR="004E1607" w:rsidRPr="00C83CE2" w:rsidRDefault="00C83CE2" w:rsidP="002A704B">
      <w:pPr>
        <w:pStyle w:val="left"/>
        <w:tabs>
          <w:tab w:val="left" w:pos="0"/>
        </w:tabs>
        <w:rPr>
          <w:rFonts w:ascii="Arial" w:hAnsi="Arial" w:cs="Arial"/>
          <w:b/>
          <w:sz w:val="22"/>
          <w:szCs w:val="22"/>
        </w:rPr>
      </w:pPr>
      <w:r w:rsidRPr="00C83CE2">
        <w:rPr>
          <w:rFonts w:ascii="Arial" w:hAnsi="Arial" w:cs="Arial"/>
          <w:b/>
          <w:sz w:val="22"/>
          <w:szCs w:val="22"/>
        </w:rPr>
        <w:lastRenderedPageBreak/>
        <w:t>DEFINITIONS (cont</w:t>
      </w:r>
      <w:r>
        <w:rPr>
          <w:rFonts w:ascii="Arial" w:hAnsi="Arial" w:cs="Arial"/>
          <w:b/>
          <w:sz w:val="22"/>
          <w:szCs w:val="22"/>
        </w:rPr>
        <w:t>.</w:t>
      </w:r>
      <w:r w:rsidRPr="00C83CE2">
        <w:rPr>
          <w:rFonts w:ascii="Arial" w:hAnsi="Arial" w:cs="Arial"/>
          <w:b/>
          <w:sz w:val="22"/>
          <w:szCs w:val="22"/>
        </w:rPr>
        <w:t>):</w:t>
      </w:r>
    </w:p>
    <w:p w14:paraId="430F9376" w14:textId="629F6D01" w:rsidR="004E1607" w:rsidRPr="00C83CE2" w:rsidRDefault="004E1607" w:rsidP="002A704B">
      <w:pPr>
        <w:pStyle w:val="left"/>
        <w:tabs>
          <w:tab w:val="left" w:pos="0"/>
        </w:tabs>
        <w:spacing w:before="0" w:beforeAutospacing="0" w:after="0" w:afterAutospacing="0"/>
        <w:rPr>
          <w:rFonts w:ascii="Arial" w:hAnsi="Arial" w:cs="Arial"/>
          <w:sz w:val="22"/>
          <w:szCs w:val="22"/>
        </w:rPr>
      </w:pPr>
      <w:r w:rsidRPr="00E6440F">
        <w:rPr>
          <w:rFonts w:ascii="Arial" w:hAnsi="Arial" w:cs="Arial"/>
          <w:b/>
          <w:bCs/>
          <w:sz w:val="22"/>
          <w:szCs w:val="22"/>
        </w:rPr>
        <w:t xml:space="preserve">Unanticipated Problems Involving Risks to Subjects or Others (UPIRHSO): </w:t>
      </w:r>
      <w:r w:rsidRPr="00E6440F">
        <w:rPr>
          <w:rFonts w:ascii="Arial" w:hAnsi="Arial" w:cs="Arial"/>
          <w:bCs/>
          <w:sz w:val="22"/>
          <w:szCs w:val="22"/>
        </w:rPr>
        <w:t xml:space="preserve">The Office for Human Research Protections (OHRP) defines a UPIRHSO as </w:t>
      </w:r>
      <w:r w:rsidRPr="00E6440F">
        <w:rPr>
          <w:rFonts w:ascii="Arial" w:hAnsi="Arial" w:cs="Arial"/>
          <w:sz w:val="22"/>
          <w:szCs w:val="22"/>
        </w:rPr>
        <w:t xml:space="preserve">any event or outcome that was previously unforeseen and indicates that participants or others are at an increased risk of harm. OHRP considers unanticipated problems in general to include any incident, experience, or outcome that meets </w:t>
      </w:r>
      <w:r w:rsidRPr="00E6440F">
        <w:rPr>
          <w:rFonts w:ascii="Arial" w:hAnsi="Arial" w:cs="Arial"/>
          <w:sz w:val="22"/>
          <w:szCs w:val="22"/>
          <w:u w:val="single"/>
        </w:rPr>
        <w:t>all</w:t>
      </w:r>
      <w:r w:rsidRPr="00E6440F">
        <w:rPr>
          <w:rFonts w:ascii="Arial" w:hAnsi="Arial" w:cs="Arial"/>
          <w:sz w:val="22"/>
          <w:szCs w:val="22"/>
        </w:rPr>
        <w:t xml:space="preserve"> of the following criteria:</w:t>
      </w:r>
    </w:p>
    <w:p w14:paraId="430F9377" w14:textId="77777777" w:rsidR="004E1607" w:rsidRPr="0069273C" w:rsidRDefault="004E1607" w:rsidP="0069273C">
      <w:pPr>
        <w:pStyle w:val="ListParagraph"/>
        <w:numPr>
          <w:ilvl w:val="0"/>
          <w:numId w:val="15"/>
        </w:numPr>
        <w:tabs>
          <w:tab w:val="left" w:pos="0"/>
        </w:tabs>
        <w:spacing w:before="100" w:beforeAutospacing="1" w:after="100" w:afterAutospacing="1" w:line="240" w:lineRule="auto"/>
        <w:rPr>
          <w:rFonts w:ascii="Arial" w:eastAsia="Times New Roman" w:hAnsi="Arial" w:cs="Arial"/>
          <w:color w:val="000000"/>
        </w:rPr>
      </w:pPr>
      <w:r w:rsidRPr="0069273C">
        <w:rPr>
          <w:rFonts w:ascii="Arial" w:eastAsia="Times New Roman" w:hAnsi="Arial" w:cs="Arial"/>
          <w:color w:val="000000"/>
        </w:rPr>
        <w:t xml:space="preserve">Unexpected: not previously identified in nature, severity, or degree of incidence in the investigational plan or application (including a supplementary plan or application); </w:t>
      </w:r>
    </w:p>
    <w:p w14:paraId="430F9378" w14:textId="77777777" w:rsidR="004E1607" w:rsidRPr="0069273C" w:rsidRDefault="004E1607" w:rsidP="0069273C">
      <w:pPr>
        <w:pStyle w:val="ListParagraph"/>
        <w:numPr>
          <w:ilvl w:val="0"/>
          <w:numId w:val="15"/>
        </w:numPr>
        <w:tabs>
          <w:tab w:val="left" w:pos="0"/>
        </w:tabs>
        <w:spacing w:before="100" w:beforeAutospacing="1" w:after="100" w:afterAutospacing="1" w:line="240" w:lineRule="auto"/>
        <w:rPr>
          <w:rFonts w:ascii="Arial" w:eastAsia="Times New Roman" w:hAnsi="Arial" w:cs="Arial"/>
          <w:color w:val="000000"/>
        </w:rPr>
      </w:pPr>
      <w:r w:rsidRPr="0069273C">
        <w:rPr>
          <w:rFonts w:ascii="Arial" w:eastAsia="Times New Roman" w:hAnsi="Arial" w:cs="Arial"/>
          <w:color w:val="000000"/>
        </w:rPr>
        <w:t xml:space="preserve">Related or possibly related to participation in research (there is at least a reasonable possibility that the incident, experience, or outcome may have been caused by the procedures involved in the research; and </w:t>
      </w:r>
    </w:p>
    <w:p w14:paraId="430F9379" w14:textId="77777777" w:rsidR="004E1607" w:rsidRPr="0069273C" w:rsidRDefault="004E1607" w:rsidP="0069273C">
      <w:pPr>
        <w:pStyle w:val="ListParagraph"/>
        <w:numPr>
          <w:ilvl w:val="0"/>
          <w:numId w:val="15"/>
        </w:numPr>
        <w:tabs>
          <w:tab w:val="left" w:pos="0"/>
        </w:tabs>
        <w:spacing w:before="100" w:beforeAutospacing="1" w:after="100" w:afterAutospacing="1" w:line="240" w:lineRule="auto"/>
        <w:rPr>
          <w:rFonts w:ascii="Arial" w:eastAsia="Times New Roman" w:hAnsi="Arial" w:cs="Arial"/>
          <w:color w:val="000000"/>
        </w:rPr>
      </w:pPr>
      <w:r w:rsidRPr="0069273C">
        <w:rPr>
          <w:rFonts w:ascii="Arial" w:eastAsia="Times New Roman" w:hAnsi="Arial" w:cs="Arial"/>
          <w:color w:val="000000"/>
        </w:rPr>
        <w:t xml:space="preserve">Increased risk of harm: suggests that the research places participants or others at a greater risk of harm (including physical, psychological, economic, or social harm) than was previously known or recognized. </w:t>
      </w:r>
    </w:p>
    <w:p w14:paraId="430F937A" w14:textId="77777777" w:rsidR="004E1607" w:rsidRPr="00E6440F" w:rsidRDefault="004E1607" w:rsidP="002A704B">
      <w:pPr>
        <w:tabs>
          <w:tab w:val="left" w:pos="0"/>
        </w:tabs>
        <w:spacing w:before="100" w:beforeAutospacing="1" w:after="100" w:afterAutospacing="1"/>
        <w:rPr>
          <w:rFonts w:ascii="Arial" w:eastAsia="Times New Roman" w:hAnsi="Arial" w:cs="Arial"/>
          <w:color w:val="000000"/>
        </w:rPr>
      </w:pPr>
      <w:r w:rsidRPr="00E6440F">
        <w:rPr>
          <w:rFonts w:ascii="Arial" w:eastAsia="Times New Roman" w:hAnsi="Arial" w:cs="Arial"/>
          <w:color w:val="000000"/>
        </w:rPr>
        <w:t>Examples of UPIRHSOs are as follows:</w:t>
      </w:r>
    </w:p>
    <w:p w14:paraId="430F937B" w14:textId="77777777" w:rsidR="004E1607" w:rsidRPr="0069273C" w:rsidRDefault="004E1607" w:rsidP="0069273C">
      <w:pPr>
        <w:pStyle w:val="ListParagraph"/>
        <w:numPr>
          <w:ilvl w:val="0"/>
          <w:numId w:val="14"/>
        </w:numPr>
        <w:tabs>
          <w:tab w:val="left" w:pos="0"/>
        </w:tabs>
        <w:spacing w:before="100" w:beforeAutospacing="1" w:after="100" w:afterAutospacing="1"/>
        <w:rPr>
          <w:rFonts w:ascii="Arial" w:eastAsia="Times New Roman" w:hAnsi="Arial" w:cs="Arial"/>
          <w:color w:val="000000"/>
        </w:rPr>
      </w:pPr>
      <w:r w:rsidRPr="0069273C">
        <w:rPr>
          <w:rFonts w:ascii="Arial" w:eastAsia="Times New Roman" w:hAnsi="Arial" w:cs="Arial"/>
          <w:color w:val="000000"/>
        </w:rPr>
        <w:t xml:space="preserve">A </w:t>
      </w:r>
      <w:r w:rsidRPr="0069273C">
        <w:rPr>
          <w:rFonts w:ascii="Arial" w:eastAsia="Times New Roman" w:hAnsi="Arial" w:cs="Arial"/>
          <w:color w:val="000000"/>
          <w:u w:val="single"/>
        </w:rPr>
        <w:t>single occurrence</w:t>
      </w:r>
      <w:r w:rsidRPr="0069273C">
        <w:rPr>
          <w:rFonts w:ascii="Arial" w:eastAsia="Times New Roman" w:hAnsi="Arial" w:cs="Arial"/>
          <w:color w:val="000000"/>
        </w:rPr>
        <w:t xml:space="preserve"> of a </w:t>
      </w:r>
      <w:r w:rsidRPr="0069273C">
        <w:rPr>
          <w:rFonts w:ascii="Arial" w:hAnsi="Arial" w:cs="Arial"/>
          <w:u w:val="single"/>
        </w:rPr>
        <w:t>serious, unexpected event</w:t>
      </w:r>
      <w:r w:rsidRPr="0069273C">
        <w:rPr>
          <w:rFonts w:ascii="Arial" w:hAnsi="Arial" w:cs="Arial"/>
        </w:rPr>
        <w:t xml:space="preserve"> that is </w:t>
      </w:r>
      <w:r w:rsidRPr="0069273C">
        <w:rPr>
          <w:rFonts w:ascii="Arial" w:hAnsi="Arial" w:cs="Arial"/>
          <w:u w:val="single"/>
        </w:rPr>
        <w:t>uncommon</w:t>
      </w:r>
      <w:r w:rsidRPr="0069273C">
        <w:rPr>
          <w:rFonts w:ascii="Arial" w:hAnsi="Arial" w:cs="Arial"/>
        </w:rPr>
        <w:t xml:space="preserve"> and </w:t>
      </w:r>
      <w:r w:rsidRPr="0069273C">
        <w:rPr>
          <w:rFonts w:ascii="Arial" w:hAnsi="Arial" w:cs="Arial"/>
          <w:u w:val="single"/>
        </w:rPr>
        <w:t>strongly associated</w:t>
      </w:r>
      <w:r w:rsidRPr="0069273C">
        <w:rPr>
          <w:rFonts w:ascii="Arial" w:hAnsi="Arial" w:cs="Arial"/>
        </w:rPr>
        <w:t xml:space="preserve"> with drug exposure </w:t>
      </w:r>
      <w:r w:rsidRPr="0069273C">
        <w:rPr>
          <w:rFonts w:ascii="Arial" w:hAnsi="Arial" w:cs="Arial"/>
          <w:u w:val="single"/>
        </w:rPr>
        <w:t>or</w:t>
      </w:r>
      <w:r w:rsidRPr="0069273C">
        <w:rPr>
          <w:rFonts w:ascii="Arial" w:hAnsi="Arial" w:cs="Arial"/>
        </w:rPr>
        <w:t xml:space="preserve"> is </w:t>
      </w:r>
      <w:r w:rsidRPr="0069273C">
        <w:rPr>
          <w:rFonts w:ascii="Arial" w:hAnsi="Arial" w:cs="Arial"/>
          <w:u w:val="single"/>
        </w:rPr>
        <w:t>uncommon in the study population</w:t>
      </w:r>
      <w:r w:rsidRPr="0069273C">
        <w:rPr>
          <w:rFonts w:ascii="Arial" w:hAnsi="Arial" w:cs="Arial"/>
        </w:rPr>
        <w:t>;</w:t>
      </w:r>
    </w:p>
    <w:p w14:paraId="430F937C" w14:textId="77777777" w:rsidR="004E1607" w:rsidRPr="0069273C" w:rsidRDefault="004E1607" w:rsidP="0069273C">
      <w:pPr>
        <w:pStyle w:val="ListParagraph"/>
        <w:numPr>
          <w:ilvl w:val="0"/>
          <w:numId w:val="14"/>
        </w:numPr>
        <w:tabs>
          <w:tab w:val="left" w:pos="0"/>
        </w:tabs>
        <w:spacing w:before="100" w:beforeAutospacing="1" w:after="100" w:afterAutospacing="1"/>
        <w:rPr>
          <w:rFonts w:ascii="Arial" w:eastAsia="Times New Roman" w:hAnsi="Arial" w:cs="Arial"/>
          <w:color w:val="000000"/>
        </w:rPr>
      </w:pPr>
      <w:r w:rsidRPr="0069273C">
        <w:rPr>
          <w:rFonts w:ascii="Arial" w:hAnsi="Arial" w:cs="Arial"/>
          <w:color w:val="000000"/>
        </w:rPr>
        <w:t xml:space="preserve">An </w:t>
      </w:r>
      <w:r w:rsidRPr="0069273C">
        <w:rPr>
          <w:rFonts w:ascii="Arial" w:hAnsi="Arial" w:cs="Arial"/>
          <w:color w:val="000000"/>
          <w:u w:val="single"/>
        </w:rPr>
        <w:t>AE or SAE that is described or addressed</w:t>
      </w:r>
      <w:r w:rsidRPr="0069273C">
        <w:rPr>
          <w:rFonts w:ascii="Arial" w:hAnsi="Arial" w:cs="Arial"/>
          <w:color w:val="000000"/>
        </w:rPr>
        <w:t xml:space="preserve"> in the investigator’s brochure, protocol, or informed consent documents, but </w:t>
      </w:r>
      <w:r w:rsidRPr="0069273C">
        <w:rPr>
          <w:rFonts w:ascii="Arial" w:hAnsi="Arial" w:cs="Arial"/>
          <w:color w:val="000000"/>
          <w:u w:val="single"/>
        </w:rPr>
        <w:t>occurs at a specificity or severity that is inconsistent</w:t>
      </w:r>
      <w:r w:rsidRPr="0069273C">
        <w:rPr>
          <w:rFonts w:ascii="Arial" w:hAnsi="Arial" w:cs="Arial"/>
          <w:color w:val="000000"/>
        </w:rPr>
        <w:t xml:space="preserve"> with prior observations; </w:t>
      </w:r>
    </w:p>
    <w:p w14:paraId="430F937D" w14:textId="77777777" w:rsidR="004E1607" w:rsidRPr="0069273C" w:rsidRDefault="004E1607" w:rsidP="0069273C">
      <w:pPr>
        <w:pStyle w:val="ListParagraph"/>
        <w:numPr>
          <w:ilvl w:val="0"/>
          <w:numId w:val="14"/>
        </w:numPr>
        <w:tabs>
          <w:tab w:val="left" w:pos="0"/>
        </w:tabs>
        <w:spacing w:before="100" w:beforeAutospacing="1" w:after="100" w:afterAutospacing="1"/>
        <w:rPr>
          <w:rFonts w:ascii="Arial" w:eastAsia="Times New Roman" w:hAnsi="Arial" w:cs="Arial"/>
          <w:color w:val="000000"/>
        </w:rPr>
      </w:pPr>
      <w:r w:rsidRPr="0069273C">
        <w:rPr>
          <w:rFonts w:ascii="Arial" w:hAnsi="Arial" w:cs="Arial"/>
          <w:color w:val="000000"/>
          <w:u w:val="single"/>
        </w:rPr>
        <w:t>Breaches in confidentiality</w:t>
      </w:r>
      <w:r w:rsidRPr="0069273C">
        <w:rPr>
          <w:rFonts w:ascii="Arial" w:hAnsi="Arial" w:cs="Arial"/>
          <w:color w:val="000000"/>
        </w:rPr>
        <w:t>, including the loss of data on a computer or any electronic device which holds private or confidential information, or which places the participant or others at risk;</w:t>
      </w:r>
    </w:p>
    <w:p w14:paraId="430F937E" w14:textId="77777777" w:rsidR="004E1607" w:rsidRPr="0069273C" w:rsidRDefault="004E1607" w:rsidP="0069273C">
      <w:pPr>
        <w:pStyle w:val="ListParagraph"/>
        <w:numPr>
          <w:ilvl w:val="0"/>
          <w:numId w:val="14"/>
        </w:numPr>
        <w:tabs>
          <w:tab w:val="left" w:pos="0"/>
        </w:tabs>
        <w:spacing w:before="100" w:beforeAutospacing="1" w:after="100" w:afterAutospacing="1"/>
        <w:rPr>
          <w:rFonts w:ascii="Arial" w:eastAsia="Times New Roman" w:hAnsi="Arial" w:cs="Arial"/>
          <w:color w:val="000000"/>
        </w:rPr>
      </w:pPr>
      <w:r w:rsidRPr="0069273C">
        <w:rPr>
          <w:rFonts w:ascii="Arial" w:eastAsia="Times New Roman" w:hAnsi="Arial" w:cs="Arial"/>
          <w:color w:val="000000"/>
          <w:u w:val="single"/>
        </w:rPr>
        <w:t>Laboratory or medication errors</w:t>
      </w:r>
      <w:r w:rsidRPr="0069273C">
        <w:rPr>
          <w:rFonts w:ascii="Arial" w:eastAsia="Times New Roman" w:hAnsi="Arial" w:cs="Arial"/>
          <w:color w:val="000000"/>
        </w:rPr>
        <w:t xml:space="preserve"> that may involve risk to that individual or others;</w:t>
      </w:r>
    </w:p>
    <w:p w14:paraId="430F937F" w14:textId="77777777" w:rsidR="004E1607" w:rsidRPr="0069273C" w:rsidRDefault="004E1607" w:rsidP="0069273C">
      <w:pPr>
        <w:pStyle w:val="ListParagraph"/>
        <w:numPr>
          <w:ilvl w:val="0"/>
          <w:numId w:val="14"/>
        </w:numPr>
        <w:tabs>
          <w:tab w:val="left" w:pos="0"/>
        </w:tabs>
        <w:spacing w:before="100" w:beforeAutospacing="1" w:after="100" w:afterAutospacing="1"/>
        <w:rPr>
          <w:rFonts w:ascii="Arial" w:eastAsia="Times New Roman" w:hAnsi="Arial" w:cs="Arial"/>
          <w:color w:val="000000"/>
        </w:rPr>
      </w:pPr>
      <w:r w:rsidRPr="0069273C">
        <w:rPr>
          <w:rFonts w:ascii="Arial" w:eastAsia="Times New Roman" w:hAnsi="Arial" w:cs="Arial"/>
          <w:color w:val="000000"/>
          <w:u w:val="single"/>
        </w:rPr>
        <w:t xml:space="preserve">Change in FDA labeling or withdrawal </w:t>
      </w:r>
      <w:r w:rsidRPr="0069273C">
        <w:rPr>
          <w:rFonts w:ascii="Arial" w:eastAsia="Times New Roman" w:hAnsi="Arial" w:cs="Arial"/>
          <w:color w:val="000000"/>
        </w:rPr>
        <w:t>from marketing of a drug, device, or biologic used in a research protocol;</w:t>
      </w:r>
    </w:p>
    <w:p w14:paraId="430F9380" w14:textId="77777777" w:rsidR="004E1607" w:rsidRPr="0069273C" w:rsidRDefault="004E1607" w:rsidP="0069273C">
      <w:pPr>
        <w:pStyle w:val="ListParagraph"/>
        <w:numPr>
          <w:ilvl w:val="0"/>
          <w:numId w:val="14"/>
        </w:numPr>
        <w:tabs>
          <w:tab w:val="left" w:pos="0"/>
        </w:tabs>
        <w:spacing w:before="100" w:beforeAutospacing="1" w:after="100" w:afterAutospacing="1"/>
        <w:rPr>
          <w:rFonts w:ascii="Arial" w:eastAsia="Times New Roman" w:hAnsi="Arial" w:cs="Arial"/>
          <w:color w:val="000000"/>
        </w:rPr>
      </w:pPr>
      <w:r w:rsidRPr="0069273C">
        <w:rPr>
          <w:rFonts w:ascii="Arial" w:eastAsia="Times New Roman" w:hAnsi="Arial" w:cs="Arial"/>
          <w:color w:val="000000"/>
          <w:u w:val="single"/>
        </w:rPr>
        <w:t xml:space="preserve">Incarceration of a participant </w:t>
      </w:r>
      <w:r w:rsidRPr="0069273C">
        <w:rPr>
          <w:rFonts w:ascii="Arial" w:eastAsia="Times New Roman" w:hAnsi="Arial" w:cs="Arial"/>
          <w:color w:val="000000"/>
        </w:rPr>
        <w:t>when enrolled in a study not approved under subpart C provisions;</w:t>
      </w:r>
    </w:p>
    <w:p w14:paraId="430F9381" w14:textId="77777777" w:rsidR="004E1607" w:rsidRPr="0069273C" w:rsidRDefault="004E1607" w:rsidP="0069273C">
      <w:pPr>
        <w:pStyle w:val="ListParagraph"/>
        <w:numPr>
          <w:ilvl w:val="0"/>
          <w:numId w:val="14"/>
        </w:numPr>
        <w:tabs>
          <w:tab w:val="left" w:pos="0"/>
        </w:tabs>
        <w:spacing w:before="100" w:beforeAutospacing="1" w:after="100" w:afterAutospacing="1"/>
        <w:rPr>
          <w:rFonts w:ascii="Arial" w:eastAsia="Times New Roman" w:hAnsi="Arial" w:cs="Arial"/>
          <w:color w:val="000000"/>
        </w:rPr>
      </w:pPr>
      <w:r w:rsidRPr="0069273C">
        <w:rPr>
          <w:rFonts w:ascii="Arial" w:eastAsia="Times New Roman" w:hAnsi="Arial" w:cs="Arial"/>
          <w:color w:val="000000"/>
          <w:u w:val="single"/>
        </w:rPr>
        <w:t>Allegations of noncompliance</w:t>
      </w:r>
    </w:p>
    <w:p w14:paraId="430F9384" w14:textId="77777777" w:rsidR="004E1607" w:rsidRPr="00E6440F" w:rsidRDefault="004E1607" w:rsidP="002A704B">
      <w:pPr>
        <w:pStyle w:val="left"/>
        <w:tabs>
          <w:tab w:val="left" w:pos="0"/>
        </w:tabs>
        <w:rPr>
          <w:rFonts w:ascii="Arial" w:hAnsi="Arial" w:cs="Arial"/>
          <w:b/>
          <w:sz w:val="22"/>
          <w:szCs w:val="22"/>
        </w:rPr>
      </w:pPr>
    </w:p>
    <w:p w14:paraId="430F9385" w14:textId="77777777" w:rsidR="004E1607" w:rsidRPr="00E6440F" w:rsidRDefault="004E1607" w:rsidP="002A704B">
      <w:pPr>
        <w:tabs>
          <w:tab w:val="left" w:pos="0"/>
        </w:tabs>
        <w:autoSpaceDE w:val="0"/>
        <w:autoSpaceDN w:val="0"/>
        <w:adjustRightInd w:val="0"/>
        <w:spacing w:after="0" w:line="245" w:lineRule="exact"/>
        <w:ind w:right="-20"/>
        <w:rPr>
          <w:rFonts w:ascii="Arial" w:hAnsi="Arial" w:cs="Arial"/>
          <w:b/>
          <w:bCs/>
        </w:rPr>
      </w:pPr>
    </w:p>
    <w:p w14:paraId="430F9386" w14:textId="77777777" w:rsidR="00055199" w:rsidRPr="00F93A82" w:rsidRDefault="00055199" w:rsidP="002A704B">
      <w:pPr>
        <w:tabs>
          <w:tab w:val="left" w:pos="0"/>
        </w:tabs>
        <w:autoSpaceDE w:val="0"/>
        <w:autoSpaceDN w:val="0"/>
        <w:adjustRightInd w:val="0"/>
        <w:spacing w:after="0" w:line="240" w:lineRule="auto"/>
        <w:rPr>
          <w:rFonts w:ascii="Times New Roman" w:hAnsi="Times New Roman" w:cs="Times New Roman"/>
          <w:sz w:val="24"/>
          <w:szCs w:val="24"/>
        </w:rPr>
        <w:sectPr w:rsidR="00055199" w:rsidRPr="00F93A82" w:rsidSect="002A704B">
          <w:headerReference w:type="default" r:id="rId11"/>
          <w:pgSz w:w="12240" w:h="15840"/>
          <w:pgMar w:top="1440" w:right="1350" w:bottom="720" w:left="1260" w:header="720" w:footer="720" w:gutter="0"/>
          <w:cols w:space="720"/>
          <w:noEndnote/>
          <w:docGrid w:linePitch="299"/>
        </w:sectPr>
      </w:pPr>
    </w:p>
    <w:tbl>
      <w:tblPr>
        <w:tblW w:w="10020" w:type="dxa"/>
        <w:tblLayout w:type="fixed"/>
        <w:tblCellMar>
          <w:left w:w="0" w:type="dxa"/>
          <w:right w:w="0" w:type="dxa"/>
        </w:tblCellMar>
        <w:tblLook w:val="0000" w:firstRow="0" w:lastRow="0" w:firstColumn="0" w:lastColumn="0" w:noHBand="0" w:noVBand="0"/>
      </w:tblPr>
      <w:tblGrid>
        <w:gridCol w:w="10020"/>
      </w:tblGrid>
      <w:tr w:rsidR="0014093E" w:rsidRPr="00FA6586" w14:paraId="430F93A8" w14:textId="77777777" w:rsidTr="00C83CE2">
        <w:trPr>
          <w:trHeight w:hRule="exact" w:val="13096"/>
        </w:trPr>
        <w:tc>
          <w:tcPr>
            <w:tcW w:w="10020" w:type="dxa"/>
          </w:tcPr>
          <w:p w14:paraId="430F9388" w14:textId="37C855E7" w:rsidR="006F5C6A" w:rsidRPr="00E6440F" w:rsidRDefault="0014093E" w:rsidP="002A704B">
            <w:pPr>
              <w:tabs>
                <w:tab w:val="left" w:pos="0"/>
              </w:tabs>
              <w:autoSpaceDE w:val="0"/>
              <w:autoSpaceDN w:val="0"/>
              <w:adjustRightInd w:val="0"/>
              <w:spacing w:after="0" w:line="240" w:lineRule="auto"/>
              <w:rPr>
                <w:rFonts w:ascii="Arial" w:hAnsi="Arial" w:cs="Arial"/>
                <w:b/>
              </w:rPr>
            </w:pPr>
            <w:r w:rsidRPr="00E6440F">
              <w:rPr>
                <w:rFonts w:ascii="Arial" w:hAnsi="Arial" w:cs="Arial"/>
                <w:b/>
              </w:rPr>
              <w:lastRenderedPageBreak/>
              <w:t>PROCEDURE:</w:t>
            </w:r>
          </w:p>
          <w:p w14:paraId="430F9389" w14:textId="77777777" w:rsidR="008A3CB3" w:rsidRPr="006A2310" w:rsidRDefault="0044522C" w:rsidP="0069273C">
            <w:pPr>
              <w:pStyle w:val="ListParagraph"/>
              <w:numPr>
                <w:ilvl w:val="0"/>
                <w:numId w:val="11"/>
              </w:numPr>
              <w:tabs>
                <w:tab w:val="left" w:pos="0"/>
              </w:tabs>
              <w:autoSpaceDE w:val="0"/>
              <w:autoSpaceDN w:val="0"/>
              <w:adjustRightInd w:val="0"/>
              <w:spacing w:after="0" w:line="240" w:lineRule="auto"/>
              <w:rPr>
                <w:rFonts w:ascii="Arial" w:hAnsi="Arial" w:cs="Arial"/>
              </w:rPr>
            </w:pPr>
            <w:r w:rsidRPr="00E6440F">
              <w:rPr>
                <w:rFonts w:ascii="Arial" w:hAnsi="Arial" w:cs="Arial"/>
              </w:rPr>
              <w:t>At each study visit, the</w:t>
            </w:r>
            <w:r w:rsidR="00185A8B" w:rsidRPr="00E6440F">
              <w:rPr>
                <w:rFonts w:ascii="Arial" w:hAnsi="Arial" w:cs="Arial"/>
              </w:rPr>
              <w:t xml:space="preserve"> I</w:t>
            </w:r>
            <w:r w:rsidR="006F5C6A" w:rsidRPr="00E6440F">
              <w:rPr>
                <w:rFonts w:ascii="Arial" w:hAnsi="Arial" w:cs="Arial"/>
              </w:rPr>
              <w:t>nvestigator or Stud</w:t>
            </w:r>
            <w:r w:rsidRPr="00E6440F">
              <w:rPr>
                <w:rFonts w:ascii="Arial" w:hAnsi="Arial" w:cs="Arial"/>
              </w:rPr>
              <w:t>y Coordinator will inquire if the subject has had any</w:t>
            </w:r>
            <w:r w:rsidRPr="006A2310">
              <w:rPr>
                <w:rFonts w:ascii="Arial" w:hAnsi="Arial" w:cs="Arial"/>
              </w:rPr>
              <w:t xml:space="preserve"> new clinical experience, exacerbation, and/or deterioration of any existing clinical condition since the last study visit</w:t>
            </w:r>
            <w:r w:rsidR="0014093E" w:rsidRPr="006A2310">
              <w:rPr>
                <w:rFonts w:ascii="Arial" w:hAnsi="Arial" w:cs="Arial"/>
              </w:rPr>
              <w:t>.</w:t>
            </w:r>
          </w:p>
          <w:p w14:paraId="430F938A" w14:textId="77777777" w:rsidR="00363753" w:rsidRPr="00E6440F" w:rsidRDefault="0044522C" w:rsidP="0069273C">
            <w:pPr>
              <w:pStyle w:val="ListParagraph"/>
              <w:numPr>
                <w:ilvl w:val="0"/>
                <w:numId w:val="11"/>
              </w:numPr>
              <w:tabs>
                <w:tab w:val="left" w:pos="0"/>
              </w:tabs>
              <w:autoSpaceDE w:val="0"/>
              <w:autoSpaceDN w:val="0"/>
              <w:adjustRightInd w:val="0"/>
              <w:spacing w:after="0" w:line="240" w:lineRule="auto"/>
              <w:rPr>
                <w:rFonts w:ascii="Arial" w:hAnsi="Arial" w:cs="Arial"/>
              </w:rPr>
            </w:pPr>
            <w:r w:rsidRPr="00E6440F">
              <w:rPr>
                <w:rFonts w:ascii="Arial" w:hAnsi="Arial" w:cs="Arial"/>
              </w:rPr>
              <w:t>If the subject reports an AE, the research nurse or coordinator evaluated the event with the Investigator, who then must evaluate the seriousness of the event. If possible, the nurse or coordinator should discuss the event while the study subject is at the investigative site.</w:t>
            </w:r>
          </w:p>
          <w:p w14:paraId="430F938B" w14:textId="77777777" w:rsidR="00363753" w:rsidRPr="00E6440F" w:rsidRDefault="0044522C" w:rsidP="0069273C">
            <w:pPr>
              <w:pStyle w:val="ListParagraph"/>
              <w:numPr>
                <w:ilvl w:val="0"/>
                <w:numId w:val="11"/>
              </w:numPr>
              <w:tabs>
                <w:tab w:val="left" w:pos="0"/>
              </w:tabs>
              <w:autoSpaceDE w:val="0"/>
              <w:autoSpaceDN w:val="0"/>
              <w:adjustRightInd w:val="0"/>
              <w:spacing w:after="0" w:line="240" w:lineRule="auto"/>
              <w:rPr>
                <w:rFonts w:ascii="Arial" w:hAnsi="Arial" w:cs="Arial"/>
              </w:rPr>
            </w:pPr>
            <w:r w:rsidRPr="00E6440F">
              <w:rPr>
                <w:rFonts w:ascii="Arial" w:hAnsi="Arial" w:cs="Arial"/>
              </w:rPr>
              <w:t>If the event is not serious, the information is recorded in the study subject’s source documentation file, transcribed onto the adverse event CRF, managed medically as appropriate, and then followed until resolution.</w:t>
            </w:r>
          </w:p>
          <w:p w14:paraId="430F938C" w14:textId="77777777" w:rsidR="00C27890" w:rsidRPr="00BF322B" w:rsidRDefault="0044522C" w:rsidP="0069273C">
            <w:pPr>
              <w:pStyle w:val="ListParagraph"/>
              <w:numPr>
                <w:ilvl w:val="0"/>
                <w:numId w:val="11"/>
              </w:numPr>
              <w:tabs>
                <w:tab w:val="left" w:pos="0"/>
              </w:tabs>
              <w:autoSpaceDE w:val="0"/>
              <w:autoSpaceDN w:val="0"/>
              <w:adjustRightInd w:val="0"/>
              <w:spacing w:after="0" w:line="240" w:lineRule="auto"/>
              <w:rPr>
                <w:rFonts w:ascii="Arial" w:hAnsi="Arial" w:cs="Arial"/>
              </w:rPr>
            </w:pPr>
            <w:r w:rsidRPr="00E6440F">
              <w:rPr>
                <w:rFonts w:ascii="Arial" w:hAnsi="Arial" w:cs="Arial"/>
              </w:rPr>
              <w:t xml:space="preserve">If the Investigator determines that the adverse event is serious/ unanticipated problem, the coordinator reports this event to the Sponsor and IRB </w:t>
            </w:r>
            <w:r w:rsidR="007B14BB" w:rsidRPr="00C83CE2">
              <w:rPr>
                <w:rFonts w:ascii="Arial" w:hAnsi="Arial" w:cs="Arial"/>
              </w:rPr>
              <w:t>(immediately upon becoming aware of it or)</w:t>
            </w:r>
            <w:r w:rsidR="007B14BB" w:rsidRPr="00BF322B">
              <w:rPr>
                <w:rFonts w:ascii="Arial" w:hAnsi="Arial" w:cs="Arial"/>
              </w:rPr>
              <w:t xml:space="preserve">  </w:t>
            </w:r>
            <w:r w:rsidRPr="00BF322B">
              <w:rPr>
                <w:rFonts w:ascii="Arial" w:hAnsi="Arial" w:cs="Arial"/>
              </w:rPr>
              <w:t>within</w:t>
            </w:r>
            <w:r w:rsidR="007B14BB" w:rsidRPr="00BF322B">
              <w:rPr>
                <w:rFonts w:ascii="Arial" w:hAnsi="Arial" w:cs="Arial"/>
              </w:rPr>
              <w:t xml:space="preserve"> their reporting requirements</w:t>
            </w:r>
          </w:p>
          <w:p w14:paraId="430F938D" w14:textId="77777777" w:rsidR="008A3CB3" w:rsidRPr="00E6440F" w:rsidRDefault="00363753" w:rsidP="0069273C">
            <w:pPr>
              <w:pStyle w:val="ListParagraph"/>
              <w:numPr>
                <w:ilvl w:val="0"/>
                <w:numId w:val="11"/>
              </w:numPr>
              <w:tabs>
                <w:tab w:val="left" w:pos="0"/>
              </w:tabs>
              <w:autoSpaceDE w:val="0"/>
              <w:autoSpaceDN w:val="0"/>
              <w:adjustRightInd w:val="0"/>
              <w:spacing w:after="0" w:line="240" w:lineRule="auto"/>
              <w:rPr>
                <w:rFonts w:ascii="Arial" w:hAnsi="Arial" w:cs="Arial"/>
              </w:rPr>
            </w:pPr>
            <w:r w:rsidRPr="00E6440F">
              <w:rPr>
                <w:rFonts w:ascii="Arial" w:hAnsi="Arial" w:cs="Arial"/>
              </w:rPr>
              <w:t>The Investigator</w:t>
            </w:r>
            <w:r w:rsidR="007B14BB" w:rsidRPr="00E6440F">
              <w:rPr>
                <w:rFonts w:ascii="Arial" w:hAnsi="Arial" w:cs="Arial"/>
              </w:rPr>
              <w:t xml:space="preserve"> is responsible for reviewing all completed adverse event forms for determination of serious events that require reports to the Sponsor and IRB.</w:t>
            </w:r>
          </w:p>
          <w:p w14:paraId="430F938E" w14:textId="77777777" w:rsidR="00363753" w:rsidRPr="00E6440F" w:rsidRDefault="00363753" w:rsidP="0069273C">
            <w:pPr>
              <w:pStyle w:val="ListParagraph"/>
              <w:numPr>
                <w:ilvl w:val="0"/>
                <w:numId w:val="11"/>
              </w:numPr>
              <w:tabs>
                <w:tab w:val="left" w:pos="0"/>
              </w:tabs>
              <w:autoSpaceDE w:val="0"/>
              <w:autoSpaceDN w:val="0"/>
              <w:adjustRightInd w:val="0"/>
              <w:spacing w:after="0" w:line="240" w:lineRule="auto"/>
              <w:rPr>
                <w:rFonts w:ascii="Arial" w:hAnsi="Arial" w:cs="Arial"/>
              </w:rPr>
            </w:pPr>
            <w:r w:rsidRPr="00E6440F">
              <w:rPr>
                <w:rFonts w:ascii="Arial" w:hAnsi="Arial" w:cs="Arial"/>
              </w:rPr>
              <w:t>The Stu</w:t>
            </w:r>
            <w:r w:rsidR="007B14BB" w:rsidRPr="00E6440F">
              <w:rPr>
                <w:rFonts w:ascii="Arial" w:hAnsi="Arial" w:cs="Arial"/>
              </w:rPr>
              <w:t>dy Coordinator wi</w:t>
            </w:r>
            <w:r w:rsidR="004531FE" w:rsidRPr="00E6440F">
              <w:rPr>
                <w:rFonts w:ascii="Arial" w:hAnsi="Arial" w:cs="Arial"/>
              </w:rPr>
              <w:t>ll forward</w:t>
            </w:r>
            <w:r w:rsidR="007B14BB" w:rsidRPr="00E6440F">
              <w:rPr>
                <w:rFonts w:ascii="Arial" w:hAnsi="Arial" w:cs="Arial"/>
              </w:rPr>
              <w:t xml:space="preserve"> </w:t>
            </w:r>
            <w:r w:rsidR="004531FE" w:rsidRPr="00E6440F">
              <w:rPr>
                <w:rFonts w:ascii="Arial" w:hAnsi="Arial" w:cs="Arial"/>
              </w:rPr>
              <w:t>current information available on the event (hospital records, lab tests, discharge summaries, etc) to the Sponsor, and as additional information becomes available</w:t>
            </w:r>
            <w:r w:rsidR="00611642" w:rsidRPr="00E6440F">
              <w:rPr>
                <w:rFonts w:ascii="Arial" w:hAnsi="Arial" w:cs="Arial"/>
              </w:rPr>
              <w:t>, it will be forwarded to the Sponsor.</w:t>
            </w:r>
          </w:p>
          <w:p w14:paraId="430F938F" w14:textId="77777777" w:rsidR="00363753" w:rsidRPr="00E6440F" w:rsidRDefault="00363753" w:rsidP="0069273C">
            <w:pPr>
              <w:pStyle w:val="ListParagraph"/>
              <w:numPr>
                <w:ilvl w:val="0"/>
                <w:numId w:val="11"/>
              </w:numPr>
              <w:tabs>
                <w:tab w:val="left" w:pos="0"/>
              </w:tabs>
              <w:autoSpaceDE w:val="0"/>
              <w:autoSpaceDN w:val="0"/>
              <w:adjustRightInd w:val="0"/>
              <w:spacing w:after="0" w:line="240" w:lineRule="auto"/>
              <w:rPr>
                <w:rFonts w:ascii="Arial" w:hAnsi="Arial" w:cs="Arial"/>
              </w:rPr>
            </w:pPr>
            <w:r w:rsidRPr="00E6440F">
              <w:rPr>
                <w:rFonts w:ascii="Arial" w:hAnsi="Arial" w:cs="Arial"/>
              </w:rPr>
              <w:t>The Study Coordinator will ensure that all reported AEs and SAEs are properly documented in the subject’s chart and CRF, and that the appropriate forms are retained in the Regulatory Documents Binder.</w:t>
            </w:r>
          </w:p>
          <w:p w14:paraId="430F9390" w14:textId="77777777" w:rsidR="00363753" w:rsidRPr="00E6440F" w:rsidRDefault="00363753" w:rsidP="002A704B">
            <w:pPr>
              <w:pStyle w:val="ListParagraph"/>
              <w:tabs>
                <w:tab w:val="left" w:pos="0"/>
              </w:tabs>
              <w:autoSpaceDE w:val="0"/>
              <w:autoSpaceDN w:val="0"/>
              <w:adjustRightInd w:val="0"/>
              <w:spacing w:after="0" w:line="240" w:lineRule="auto"/>
              <w:ind w:left="0"/>
              <w:rPr>
                <w:rFonts w:ascii="Arial" w:hAnsi="Arial" w:cs="Arial"/>
              </w:rPr>
            </w:pPr>
          </w:p>
          <w:p w14:paraId="430F9391" w14:textId="77777777" w:rsidR="003E5D04" w:rsidRPr="00E6440F" w:rsidRDefault="00363753" w:rsidP="002A704B">
            <w:pPr>
              <w:pStyle w:val="ListParagraph"/>
              <w:numPr>
                <w:ilvl w:val="2"/>
                <w:numId w:val="3"/>
              </w:numPr>
              <w:tabs>
                <w:tab w:val="left" w:pos="0"/>
              </w:tabs>
              <w:autoSpaceDE w:val="0"/>
              <w:autoSpaceDN w:val="0"/>
              <w:adjustRightInd w:val="0"/>
              <w:spacing w:after="0" w:line="240" w:lineRule="auto"/>
              <w:ind w:left="0"/>
              <w:rPr>
                <w:rFonts w:ascii="Arial" w:hAnsi="Arial" w:cs="Arial"/>
              </w:rPr>
            </w:pPr>
            <w:r w:rsidRPr="00E6440F">
              <w:rPr>
                <w:rFonts w:ascii="Arial" w:hAnsi="Arial" w:cs="Arial"/>
                <w:b/>
              </w:rPr>
              <w:t>Non-Serious Adverse Events (AEs</w:t>
            </w:r>
            <w:r w:rsidR="005C2190">
              <w:rPr>
                <w:rFonts w:ascii="Arial" w:hAnsi="Arial" w:cs="Arial"/>
                <w:b/>
              </w:rPr>
              <w:t>):</w:t>
            </w:r>
            <w:r w:rsidRPr="00E6440F">
              <w:rPr>
                <w:rFonts w:ascii="Arial" w:hAnsi="Arial" w:cs="Arial"/>
              </w:rPr>
              <w:t xml:space="preserve"> For reported AEs, the Study Coordinator will document the following in the subject’s chart and CRF:</w:t>
            </w:r>
            <w:r w:rsidR="003E5D04" w:rsidRPr="00E6440F">
              <w:rPr>
                <w:rFonts w:ascii="Arial" w:hAnsi="Arial" w:cs="Arial"/>
              </w:rPr>
              <w:t xml:space="preserve"> </w:t>
            </w:r>
          </w:p>
          <w:p w14:paraId="430F9392" w14:textId="77777777" w:rsidR="003E5D04" w:rsidRPr="00E6440F" w:rsidRDefault="00363753" w:rsidP="0069273C">
            <w:pPr>
              <w:pStyle w:val="ListParagraph"/>
              <w:numPr>
                <w:ilvl w:val="1"/>
                <w:numId w:val="12"/>
              </w:numPr>
              <w:tabs>
                <w:tab w:val="left" w:pos="0"/>
              </w:tabs>
              <w:autoSpaceDE w:val="0"/>
              <w:autoSpaceDN w:val="0"/>
              <w:adjustRightInd w:val="0"/>
              <w:spacing w:after="0" w:line="240" w:lineRule="auto"/>
              <w:rPr>
                <w:rFonts w:ascii="Arial" w:hAnsi="Arial" w:cs="Arial"/>
              </w:rPr>
            </w:pPr>
            <w:r w:rsidRPr="00E6440F">
              <w:rPr>
                <w:rFonts w:ascii="Arial" w:hAnsi="Arial" w:cs="Arial"/>
              </w:rPr>
              <w:t>Date and time (if applicable) the event started and ended</w:t>
            </w:r>
          </w:p>
          <w:p w14:paraId="430F9393" w14:textId="77777777" w:rsidR="003E5D04" w:rsidRPr="00E6440F" w:rsidRDefault="00363753" w:rsidP="0069273C">
            <w:pPr>
              <w:pStyle w:val="ListParagraph"/>
              <w:numPr>
                <w:ilvl w:val="1"/>
                <w:numId w:val="12"/>
              </w:numPr>
              <w:tabs>
                <w:tab w:val="left" w:pos="0"/>
              </w:tabs>
              <w:autoSpaceDE w:val="0"/>
              <w:autoSpaceDN w:val="0"/>
              <w:adjustRightInd w:val="0"/>
              <w:spacing w:after="0" w:line="240" w:lineRule="auto"/>
              <w:rPr>
                <w:rFonts w:ascii="Arial" w:hAnsi="Arial" w:cs="Arial"/>
              </w:rPr>
            </w:pPr>
            <w:r w:rsidRPr="00E6440F">
              <w:rPr>
                <w:rFonts w:ascii="Arial" w:hAnsi="Arial" w:cs="Arial"/>
              </w:rPr>
              <w:t>Description of the event</w:t>
            </w:r>
          </w:p>
          <w:p w14:paraId="430F9394" w14:textId="77777777" w:rsidR="003E5D04" w:rsidRPr="00E6440F" w:rsidRDefault="00363753" w:rsidP="0069273C">
            <w:pPr>
              <w:pStyle w:val="ListParagraph"/>
              <w:numPr>
                <w:ilvl w:val="1"/>
                <w:numId w:val="12"/>
              </w:numPr>
              <w:tabs>
                <w:tab w:val="left" w:pos="0"/>
              </w:tabs>
              <w:autoSpaceDE w:val="0"/>
              <w:autoSpaceDN w:val="0"/>
              <w:adjustRightInd w:val="0"/>
              <w:spacing w:after="0" w:line="240" w:lineRule="auto"/>
              <w:rPr>
                <w:rFonts w:ascii="Arial" w:hAnsi="Arial" w:cs="Arial"/>
              </w:rPr>
            </w:pPr>
            <w:r w:rsidRPr="00E6440F">
              <w:rPr>
                <w:rFonts w:ascii="Arial" w:hAnsi="Arial" w:cs="Arial"/>
              </w:rPr>
              <w:t>Severity of the event</w:t>
            </w:r>
          </w:p>
          <w:p w14:paraId="430F9395" w14:textId="77777777" w:rsidR="003E5D04" w:rsidRPr="00E6440F" w:rsidRDefault="00363753" w:rsidP="0069273C">
            <w:pPr>
              <w:pStyle w:val="ListParagraph"/>
              <w:numPr>
                <w:ilvl w:val="1"/>
                <w:numId w:val="12"/>
              </w:numPr>
              <w:tabs>
                <w:tab w:val="left" w:pos="0"/>
              </w:tabs>
              <w:autoSpaceDE w:val="0"/>
              <w:autoSpaceDN w:val="0"/>
              <w:adjustRightInd w:val="0"/>
              <w:spacing w:after="0" w:line="240" w:lineRule="auto"/>
              <w:rPr>
                <w:rFonts w:ascii="Arial" w:hAnsi="Arial" w:cs="Arial"/>
              </w:rPr>
            </w:pPr>
            <w:r w:rsidRPr="00E6440F">
              <w:rPr>
                <w:rFonts w:ascii="Arial" w:hAnsi="Arial" w:cs="Arial"/>
              </w:rPr>
              <w:t>Outcome of the event</w:t>
            </w:r>
          </w:p>
          <w:p w14:paraId="430F9396" w14:textId="77777777" w:rsidR="003E5D04" w:rsidRPr="00E6440F" w:rsidRDefault="00363753" w:rsidP="0069273C">
            <w:pPr>
              <w:pStyle w:val="ListParagraph"/>
              <w:numPr>
                <w:ilvl w:val="1"/>
                <w:numId w:val="12"/>
              </w:numPr>
              <w:tabs>
                <w:tab w:val="left" w:pos="0"/>
              </w:tabs>
              <w:autoSpaceDE w:val="0"/>
              <w:autoSpaceDN w:val="0"/>
              <w:adjustRightInd w:val="0"/>
              <w:spacing w:after="0" w:line="240" w:lineRule="auto"/>
              <w:rPr>
                <w:rFonts w:ascii="Arial" w:hAnsi="Arial" w:cs="Arial"/>
              </w:rPr>
            </w:pPr>
            <w:r w:rsidRPr="00E6440F">
              <w:rPr>
                <w:rFonts w:ascii="Arial" w:hAnsi="Arial" w:cs="Arial"/>
              </w:rPr>
              <w:t>Action taken</w:t>
            </w:r>
          </w:p>
          <w:p w14:paraId="430F9398" w14:textId="56206185" w:rsidR="008A3CB3" w:rsidRDefault="00363753" w:rsidP="0069273C">
            <w:pPr>
              <w:pStyle w:val="ListParagraph"/>
              <w:numPr>
                <w:ilvl w:val="1"/>
                <w:numId w:val="12"/>
              </w:numPr>
              <w:tabs>
                <w:tab w:val="left" w:pos="0"/>
              </w:tabs>
              <w:autoSpaceDE w:val="0"/>
              <w:autoSpaceDN w:val="0"/>
              <w:adjustRightInd w:val="0"/>
              <w:spacing w:after="0" w:line="240" w:lineRule="auto"/>
              <w:rPr>
                <w:rFonts w:ascii="Arial" w:hAnsi="Arial" w:cs="Arial"/>
              </w:rPr>
            </w:pPr>
            <w:r w:rsidRPr="00E6440F">
              <w:rPr>
                <w:rFonts w:ascii="Arial" w:hAnsi="Arial" w:cs="Arial"/>
              </w:rPr>
              <w:t>Relationship to study drug</w:t>
            </w:r>
          </w:p>
          <w:p w14:paraId="1B944E32" w14:textId="77777777" w:rsidR="005230D4" w:rsidRDefault="005230D4" w:rsidP="005230D4">
            <w:pPr>
              <w:pStyle w:val="ListParagraph"/>
              <w:tabs>
                <w:tab w:val="left" w:pos="0"/>
              </w:tabs>
              <w:autoSpaceDE w:val="0"/>
              <w:autoSpaceDN w:val="0"/>
              <w:adjustRightInd w:val="0"/>
              <w:spacing w:after="0" w:line="240" w:lineRule="auto"/>
              <w:ind w:left="1440"/>
              <w:rPr>
                <w:rFonts w:ascii="Arial" w:hAnsi="Arial" w:cs="Arial"/>
              </w:rPr>
            </w:pPr>
          </w:p>
          <w:p w14:paraId="430F9399" w14:textId="77777777" w:rsidR="00C27890" w:rsidRPr="00455781" w:rsidRDefault="00D871CA" w:rsidP="005230D4">
            <w:pPr>
              <w:pStyle w:val="ListParagraph"/>
              <w:tabs>
                <w:tab w:val="left" w:pos="0"/>
              </w:tabs>
              <w:autoSpaceDE w:val="0"/>
              <w:autoSpaceDN w:val="0"/>
              <w:adjustRightInd w:val="0"/>
              <w:spacing w:after="0" w:line="240" w:lineRule="auto"/>
              <w:ind w:left="0"/>
              <w:rPr>
                <w:rFonts w:ascii="Arial" w:hAnsi="Arial" w:cs="Arial"/>
              </w:rPr>
            </w:pPr>
            <w:r w:rsidRPr="00E6440F">
              <w:rPr>
                <w:rFonts w:ascii="Arial" w:hAnsi="Arial" w:cs="Arial"/>
                <w:b/>
              </w:rPr>
              <w:t>Serious Adverse E</w:t>
            </w:r>
            <w:r w:rsidR="00EA54A7" w:rsidRPr="00E6440F">
              <w:rPr>
                <w:rFonts w:ascii="Arial" w:hAnsi="Arial" w:cs="Arial"/>
                <w:b/>
              </w:rPr>
              <w:t>xperiences (SAEs</w:t>
            </w:r>
            <w:r w:rsidR="005C2190">
              <w:rPr>
                <w:rFonts w:ascii="Arial" w:hAnsi="Arial" w:cs="Arial"/>
              </w:rPr>
              <w:t>):</w:t>
            </w:r>
            <w:r w:rsidR="00C27890" w:rsidRPr="00E6440F">
              <w:rPr>
                <w:rFonts w:ascii="Arial" w:hAnsi="Arial" w:cs="Arial"/>
              </w:rPr>
              <w:t xml:space="preserve"> The Study Coordinator should collect as much of the following information as possible for reporting to the Sponsor/ CRO and IRB:</w:t>
            </w:r>
          </w:p>
          <w:p w14:paraId="430F939A"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Subject number and initials</w:t>
            </w:r>
          </w:p>
          <w:p w14:paraId="430F939B"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Date of birth</w:t>
            </w:r>
          </w:p>
          <w:p w14:paraId="430F939C"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Subject demographics</w:t>
            </w:r>
          </w:p>
          <w:p w14:paraId="430F939D"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Date of the report</w:t>
            </w:r>
          </w:p>
          <w:p w14:paraId="430F939E"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Description of event, including relationship to study drug</w:t>
            </w:r>
          </w:p>
          <w:p w14:paraId="430F939F"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Determination of seriousness</w:t>
            </w:r>
          </w:p>
          <w:p w14:paraId="430F93A0"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Possible cause of SAE other than trial medication</w:t>
            </w:r>
          </w:p>
          <w:p w14:paraId="430F93A1"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Relevant medical conditions</w:t>
            </w:r>
          </w:p>
          <w:p w14:paraId="430F93A2" w14:textId="77777777" w:rsidR="00C27890" w:rsidRPr="00E6440F"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Concomitant medications</w:t>
            </w:r>
          </w:p>
          <w:p w14:paraId="2E596D71" w14:textId="613A0C0A" w:rsidR="005230D4" w:rsidRPr="00C83CE2" w:rsidRDefault="00C27890" w:rsidP="00C83CE2">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Principal Investigator’s name</w:t>
            </w:r>
          </w:p>
          <w:p w14:paraId="430F93A4" w14:textId="77777777" w:rsidR="00C27890" w:rsidRDefault="00C27890" w:rsidP="0069273C">
            <w:pPr>
              <w:pStyle w:val="ListParagraph"/>
              <w:numPr>
                <w:ilvl w:val="0"/>
                <w:numId w:val="13"/>
              </w:numPr>
              <w:tabs>
                <w:tab w:val="left" w:pos="0"/>
              </w:tabs>
              <w:autoSpaceDE w:val="0"/>
              <w:autoSpaceDN w:val="0"/>
              <w:adjustRightInd w:val="0"/>
              <w:spacing w:after="0" w:line="240" w:lineRule="auto"/>
              <w:jc w:val="both"/>
              <w:rPr>
                <w:rFonts w:ascii="Arial" w:hAnsi="Arial" w:cs="Arial"/>
              </w:rPr>
            </w:pPr>
            <w:r w:rsidRPr="00E6440F">
              <w:rPr>
                <w:rFonts w:ascii="Arial" w:hAnsi="Arial" w:cs="Arial"/>
              </w:rPr>
              <w:t>Name and telephone number of person reporting the event</w:t>
            </w:r>
          </w:p>
          <w:p w14:paraId="0AECBE64" w14:textId="77777777" w:rsidR="00C83CE2" w:rsidRPr="00C83CE2" w:rsidRDefault="00C83CE2" w:rsidP="00C83CE2">
            <w:pPr>
              <w:tabs>
                <w:tab w:val="left" w:pos="0"/>
              </w:tabs>
              <w:autoSpaceDE w:val="0"/>
              <w:autoSpaceDN w:val="0"/>
              <w:adjustRightInd w:val="0"/>
              <w:spacing w:after="0" w:line="240" w:lineRule="auto"/>
              <w:jc w:val="both"/>
              <w:rPr>
                <w:rFonts w:ascii="Arial" w:hAnsi="Arial" w:cs="Arial"/>
              </w:rPr>
            </w:pPr>
          </w:p>
          <w:p w14:paraId="430F93A5" w14:textId="77777777" w:rsidR="00EA1E1A" w:rsidRDefault="00EA1E1A" w:rsidP="002A704B">
            <w:pPr>
              <w:pStyle w:val="ListParagraph"/>
              <w:tabs>
                <w:tab w:val="left" w:pos="0"/>
              </w:tabs>
              <w:autoSpaceDE w:val="0"/>
              <w:autoSpaceDN w:val="0"/>
              <w:adjustRightInd w:val="0"/>
              <w:spacing w:after="0" w:line="240" w:lineRule="auto"/>
              <w:ind w:left="0"/>
              <w:rPr>
                <w:rFonts w:ascii="Arial" w:hAnsi="Arial" w:cs="Arial"/>
                <w:sz w:val="20"/>
                <w:szCs w:val="20"/>
              </w:rPr>
            </w:pPr>
          </w:p>
          <w:p w14:paraId="430F93A6" w14:textId="77777777" w:rsidR="0014093E" w:rsidRDefault="0014093E" w:rsidP="002A704B">
            <w:pPr>
              <w:tabs>
                <w:tab w:val="left" w:pos="0"/>
              </w:tabs>
              <w:autoSpaceDE w:val="0"/>
              <w:autoSpaceDN w:val="0"/>
              <w:adjustRightInd w:val="0"/>
              <w:spacing w:after="0" w:line="240" w:lineRule="auto"/>
              <w:rPr>
                <w:rFonts w:ascii="Arial" w:hAnsi="Arial" w:cs="Arial"/>
                <w:b/>
                <w:sz w:val="20"/>
                <w:szCs w:val="20"/>
              </w:rPr>
            </w:pPr>
          </w:p>
          <w:p w14:paraId="430F93A7" w14:textId="77777777" w:rsidR="0014093E" w:rsidRPr="00FA6586" w:rsidRDefault="0014093E" w:rsidP="002A704B">
            <w:pPr>
              <w:tabs>
                <w:tab w:val="left" w:pos="0"/>
              </w:tabs>
              <w:autoSpaceDE w:val="0"/>
              <w:autoSpaceDN w:val="0"/>
              <w:adjustRightInd w:val="0"/>
              <w:spacing w:after="0" w:line="240" w:lineRule="auto"/>
              <w:rPr>
                <w:rFonts w:ascii="Arial" w:hAnsi="Arial" w:cs="Arial"/>
                <w:sz w:val="20"/>
                <w:szCs w:val="20"/>
              </w:rPr>
            </w:pPr>
          </w:p>
        </w:tc>
      </w:tr>
    </w:tbl>
    <w:p w14:paraId="430F93A9" w14:textId="77777777" w:rsidR="0014093E" w:rsidRDefault="0014093E" w:rsidP="002A704B">
      <w:pPr>
        <w:tabs>
          <w:tab w:val="left" w:pos="0"/>
        </w:tabs>
        <w:autoSpaceDE w:val="0"/>
        <w:autoSpaceDN w:val="0"/>
        <w:adjustRightInd w:val="0"/>
        <w:spacing w:before="12" w:after="0" w:line="260" w:lineRule="exact"/>
        <w:rPr>
          <w:rFonts w:ascii="Times New Roman" w:hAnsi="Times New Roman" w:cs="Times New Roman"/>
          <w:sz w:val="26"/>
          <w:szCs w:val="26"/>
        </w:rPr>
      </w:pPr>
    </w:p>
    <w:tbl>
      <w:tblPr>
        <w:tblW w:w="9805" w:type="dxa"/>
        <w:tblInd w:w="-175" w:type="dxa"/>
        <w:tblLayout w:type="fixed"/>
        <w:tblCellMar>
          <w:left w:w="0" w:type="dxa"/>
          <w:right w:w="0" w:type="dxa"/>
        </w:tblCellMar>
        <w:tblLook w:val="0000" w:firstRow="0" w:lastRow="0" w:firstColumn="0" w:lastColumn="0" w:noHBand="0" w:noVBand="0"/>
      </w:tblPr>
      <w:tblGrid>
        <w:gridCol w:w="9805"/>
      </w:tblGrid>
      <w:tr w:rsidR="006F5C6A" w:rsidRPr="00E6440F" w14:paraId="430F93BC" w14:textId="77777777" w:rsidTr="00455781">
        <w:trPr>
          <w:trHeight w:hRule="exact" w:val="7361"/>
        </w:trPr>
        <w:tc>
          <w:tcPr>
            <w:tcW w:w="9805" w:type="dxa"/>
          </w:tcPr>
          <w:p w14:paraId="12FDB0B2" w14:textId="5693D1AB" w:rsidR="00BF322B" w:rsidRPr="00BF322B" w:rsidRDefault="006F5C6A" w:rsidP="002A704B">
            <w:pPr>
              <w:tabs>
                <w:tab w:val="left" w:pos="0"/>
              </w:tabs>
              <w:autoSpaceDE w:val="0"/>
              <w:autoSpaceDN w:val="0"/>
              <w:adjustRightInd w:val="0"/>
              <w:spacing w:after="0" w:line="240" w:lineRule="auto"/>
              <w:rPr>
                <w:rFonts w:ascii="Arial" w:hAnsi="Arial" w:cs="Arial"/>
                <w:b/>
              </w:rPr>
            </w:pPr>
            <w:r w:rsidRPr="00E6440F">
              <w:rPr>
                <w:rFonts w:ascii="Arial" w:hAnsi="Arial" w:cs="Arial"/>
                <w:b/>
              </w:rPr>
              <w:t>PROCEDURE:</w:t>
            </w:r>
          </w:p>
          <w:p w14:paraId="29705C5B" w14:textId="77777777" w:rsidR="00BF322B" w:rsidRDefault="00BF322B" w:rsidP="002A704B">
            <w:pPr>
              <w:tabs>
                <w:tab w:val="left" w:pos="0"/>
              </w:tabs>
              <w:autoSpaceDE w:val="0"/>
              <w:autoSpaceDN w:val="0"/>
              <w:adjustRightInd w:val="0"/>
              <w:spacing w:after="0" w:line="240" w:lineRule="auto"/>
              <w:rPr>
                <w:rFonts w:ascii="Arial" w:hAnsi="Arial" w:cs="Arial"/>
              </w:rPr>
            </w:pPr>
          </w:p>
          <w:p w14:paraId="430F93AC" w14:textId="7924827C" w:rsidR="00C27890" w:rsidRPr="00E6440F" w:rsidRDefault="00C27890" w:rsidP="002A704B">
            <w:pPr>
              <w:tabs>
                <w:tab w:val="left" w:pos="0"/>
              </w:tabs>
              <w:autoSpaceDE w:val="0"/>
              <w:autoSpaceDN w:val="0"/>
              <w:adjustRightInd w:val="0"/>
              <w:spacing w:after="0" w:line="240" w:lineRule="auto"/>
              <w:rPr>
                <w:rFonts w:ascii="Arial" w:hAnsi="Arial" w:cs="Arial"/>
              </w:rPr>
            </w:pPr>
            <w:r w:rsidRPr="00E6440F">
              <w:rPr>
                <w:rFonts w:ascii="Arial" w:hAnsi="Arial" w:cs="Arial"/>
              </w:rPr>
              <w:t>For reported SAEs, notify the following people in the timeframes listed below:</w:t>
            </w:r>
          </w:p>
          <w:p w14:paraId="430F93AD" w14:textId="77777777" w:rsidR="00C27890" w:rsidRPr="00E6440F" w:rsidRDefault="00C27890" w:rsidP="002A704B">
            <w:pPr>
              <w:tabs>
                <w:tab w:val="left" w:pos="0"/>
              </w:tabs>
              <w:autoSpaceDE w:val="0"/>
              <w:autoSpaceDN w:val="0"/>
              <w:adjustRightInd w:val="0"/>
              <w:spacing w:after="0" w:line="240" w:lineRule="auto"/>
              <w:rPr>
                <w:rFonts w:ascii="Arial" w:hAnsi="Arial" w:cs="Arial"/>
              </w:rPr>
            </w:pPr>
          </w:p>
          <w:p w14:paraId="430F93AE" w14:textId="77777777" w:rsidR="00C27890" w:rsidRPr="00E6440F" w:rsidRDefault="00C27890" w:rsidP="0069273C">
            <w:pPr>
              <w:pStyle w:val="ListParagraph"/>
              <w:numPr>
                <w:ilvl w:val="0"/>
                <w:numId w:val="7"/>
              </w:numPr>
              <w:tabs>
                <w:tab w:val="left" w:pos="0"/>
              </w:tabs>
              <w:autoSpaceDE w:val="0"/>
              <w:autoSpaceDN w:val="0"/>
              <w:adjustRightInd w:val="0"/>
              <w:spacing w:after="0" w:line="240" w:lineRule="auto"/>
              <w:rPr>
                <w:rFonts w:ascii="Arial" w:hAnsi="Arial" w:cs="Arial"/>
              </w:rPr>
            </w:pPr>
            <w:r w:rsidRPr="00E6440F">
              <w:rPr>
                <w:rFonts w:ascii="Arial" w:hAnsi="Arial" w:cs="Arial"/>
              </w:rPr>
              <w:t>PI and Study Coordinator- immediately</w:t>
            </w:r>
          </w:p>
          <w:p w14:paraId="430F93AF" w14:textId="77777777" w:rsidR="00C27890" w:rsidRPr="00E6440F" w:rsidRDefault="00C27890" w:rsidP="0069273C">
            <w:pPr>
              <w:pStyle w:val="ListParagraph"/>
              <w:numPr>
                <w:ilvl w:val="0"/>
                <w:numId w:val="7"/>
              </w:numPr>
              <w:tabs>
                <w:tab w:val="left" w:pos="0"/>
              </w:tabs>
              <w:autoSpaceDE w:val="0"/>
              <w:autoSpaceDN w:val="0"/>
              <w:adjustRightInd w:val="0"/>
              <w:spacing w:after="0" w:line="240" w:lineRule="auto"/>
              <w:rPr>
                <w:rFonts w:ascii="Arial" w:hAnsi="Arial" w:cs="Arial"/>
              </w:rPr>
            </w:pPr>
            <w:r w:rsidRPr="00E6440F">
              <w:rPr>
                <w:rFonts w:ascii="Arial" w:hAnsi="Arial" w:cs="Arial"/>
              </w:rPr>
              <w:t xml:space="preserve">Sponsor/ CRO- in the timeframe stated in the protocol, but no later than 48 hours.  If the SAE is life-threatening </w:t>
            </w:r>
            <w:r w:rsidR="00C17FBF" w:rsidRPr="00E6440F">
              <w:rPr>
                <w:rFonts w:ascii="Arial" w:hAnsi="Arial" w:cs="Arial"/>
              </w:rPr>
              <w:t>or a death, the s</w:t>
            </w:r>
            <w:r w:rsidRPr="00E6440F">
              <w:rPr>
                <w:rFonts w:ascii="Arial" w:hAnsi="Arial" w:cs="Arial"/>
              </w:rPr>
              <w:t>ponsor/ CRO will be notified within 24 hours.</w:t>
            </w:r>
          </w:p>
          <w:p w14:paraId="645FFFBD" w14:textId="77777777" w:rsidR="00095F81" w:rsidRDefault="00C1265F" w:rsidP="00095F81">
            <w:pPr>
              <w:pStyle w:val="ListParagraph"/>
              <w:numPr>
                <w:ilvl w:val="0"/>
                <w:numId w:val="7"/>
              </w:numPr>
              <w:tabs>
                <w:tab w:val="left" w:pos="0"/>
              </w:tabs>
              <w:autoSpaceDE w:val="0"/>
              <w:autoSpaceDN w:val="0"/>
              <w:adjustRightInd w:val="0"/>
              <w:spacing w:after="0" w:line="240" w:lineRule="auto"/>
              <w:rPr>
                <w:rFonts w:ascii="Arial" w:hAnsi="Arial" w:cs="Arial"/>
              </w:rPr>
            </w:pPr>
            <w:r w:rsidRPr="00E6440F">
              <w:rPr>
                <w:rFonts w:ascii="Arial" w:hAnsi="Arial" w:cs="Arial"/>
              </w:rPr>
              <w:t>IRB- immediately of the Investigator becoming aware of the event.</w:t>
            </w:r>
          </w:p>
          <w:p w14:paraId="430F93B1" w14:textId="51E2DCE9" w:rsidR="00C27890" w:rsidRPr="00E6440F" w:rsidRDefault="00C27890" w:rsidP="00095F81">
            <w:pPr>
              <w:pStyle w:val="ListParagraph"/>
              <w:tabs>
                <w:tab w:val="left" w:pos="0"/>
              </w:tabs>
              <w:autoSpaceDE w:val="0"/>
              <w:autoSpaceDN w:val="0"/>
              <w:adjustRightInd w:val="0"/>
              <w:spacing w:after="0" w:line="240" w:lineRule="auto"/>
              <w:ind w:left="1350"/>
              <w:rPr>
                <w:rFonts w:ascii="Arial" w:hAnsi="Arial" w:cs="Arial"/>
              </w:rPr>
            </w:pPr>
            <w:r w:rsidRPr="00E6440F">
              <w:rPr>
                <w:rFonts w:ascii="Arial" w:hAnsi="Arial" w:cs="Arial"/>
              </w:rPr>
              <w:t xml:space="preserve">   </w:t>
            </w:r>
          </w:p>
          <w:p w14:paraId="430F93B2" w14:textId="77777777" w:rsidR="00C27890" w:rsidRPr="00E6440F" w:rsidRDefault="00C27890" w:rsidP="002A704B">
            <w:pPr>
              <w:pStyle w:val="ListParagraph"/>
              <w:numPr>
                <w:ilvl w:val="2"/>
                <w:numId w:val="2"/>
              </w:numPr>
              <w:tabs>
                <w:tab w:val="left" w:pos="0"/>
              </w:tabs>
              <w:autoSpaceDE w:val="0"/>
              <w:autoSpaceDN w:val="0"/>
              <w:adjustRightInd w:val="0"/>
              <w:spacing w:after="0" w:line="240" w:lineRule="auto"/>
              <w:ind w:left="0"/>
              <w:rPr>
                <w:rFonts w:ascii="Arial" w:hAnsi="Arial" w:cs="Arial"/>
                <w:b/>
              </w:rPr>
            </w:pPr>
            <w:r w:rsidRPr="00E6440F">
              <w:rPr>
                <w:rFonts w:ascii="Arial" w:hAnsi="Arial" w:cs="Arial"/>
                <w:b/>
              </w:rPr>
              <w:t>Internal Adverse Events</w:t>
            </w:r>
          </w:p>
          <w:p w14:paraId="430F93B3" w14:textId="36ACAA06" w:rsidR="00FC33E8" w:rsidRPr="00E6440F" w:rsidRDefault="00FC33E8" w:rsidP="0069273C">
            <w:pPr>
              <w:pStyle w:val="ListParagraph"/>
              <w:numPr>
                <w:ilvl w:val="0"/>
                <w:numId w:val="9"/>
              </w:numPr>
              <w:tabs>
                <w:tab w:val="left" w:pos="0"/>
              </w:tabs>
              <w:autoSpaceDE w:val="0"/>
              <w:autoSpaceDN w:val="0"/>
              <w:adjustRightInd w:val="0"/>
              <w:spacing w:after="0" w:line="240" w:lineRule="auto"/>
              <w:rPr>
                <w:rFonts w:ascii="Arial" w:hAnsi="Arial" w:cs="Arial"/>
              </w:rPr>
            </w:pPr>
            <w:r w:rsidRPr="00E6440F">
              <w:rPr>
                <w:rFonts w:ascii="Arial" w:hAnsi="Arial" w:cs="Arial"/>
              </w:rPr>
              <w:t xml:space="preserve">Once aware of </w:t>
            </w:r>
            <w:r w:rsidR="004963E0">
              <w:rPr>
                <w:rFonts w:ascii="Arial" w:hAnsi="Arial" w:cs="Arial"/>
              </w:rPr>
              <w:t>an internal adverse event, the I</w:t>
            </w:r>
            <w:r w:rsidRPr="00E6440F">
              <w:rPr>
                <w:rFonts w:ascii="Arial" w:hAnsi="Arial" w:cs="Arial"/>
              </w:rPr>
              <w:t>nvestigator will determine if the AE is unanticipated.</w:t>
            </w:r>
          </w:p>
          <w:p w14:paraId="430F93B4" w14:textId="031D683E" w:rsidR="00FC33E8" w:rsidRPr="00E6440F" w:rsidRDefault="00FC33E8" w:rsidP="0069273C">
            <w:pPr>
              <w:pStyle w:val="ListParagraph"/>
              <w:numPr>
                <w:ilvl w:val="0"/>
                <w:numId w:val="9"/>
              </w:numPr>
              <w:tabs>
                <w:tab w:val="left" w:pos="0"/>
              </w:tabs>
              <w:autoSpaceDE w:val="0"/>
              <w:autoSpaceDN w:val="0"/>
              <w:adjustRightInd w:val="0"/>
              <w:spacing w:after="0" w:line="240" w:lineRule="auto"/>
              <w:rPr>
                <w:rFonts w:ascii="Arial" w:hAnsi="Arial" w:cs="Arial"/>
              </w:rPr>
            </w:pPr>
            <w:r w:rsidRPr="00E6440F">
              <w:rPr>
                <w:rFonts w:ascii="Arial" w:hAnsi="Arial" w:cs="Arial"/>
              </w:rPr>
              <w:t>If the Investigator deems the AE to be unanticipated, he/she must report the event to the IRB within 10 work</w:t>
            </w:r>
            <w:r w:rsidR="0069273C">
              <w:rPr>
                <w:rFonts w:ascii="Arial" w:hAnsi="Arial" w:cs="Arial"/>
              </w:rPr>
              <w:t xml:space="preserve">ing days of the event.  </w:t>
            </w:r>
          </w:p>
          <w:p w14:paraId="430F93B5" w14:textId="16D584BE" w:rsidR="00517CF5" w:rsidRPr="00E6440F" w:rsidRDefault="00517CF5" w:rsidP="0069273C">
            <w:pPr>
              <w:pStyle w:val="ListParagraph"/>
              <w:numPr>
                <w:ilvl w:val="0"/>
                <w:numId w:val="9"/>
              </w:numPr>
              <w:tabs>
                <w:tab w:val="left" w:pos="0"/>
              </w:tabs>
              <w:autoSpaceDE w:val="0"/>
              <w:autoSpaceDN w:val="0"/>
              <w:adjustRightInd w:val="0"/>
              <w:spacing w:after="0" w:line="240" w:lineRule="auto"/>
              <w:rPr>
                <w:rFonts w:ascii="Arial" w:hAnsi="Arial" w:cs="Arial"/>
              </w:rPr>
            </w:pPr>
            <w:r w:rsidRPr="00E6440F">
              <w:rPr>
                <w:rFonts w:ascii="Arial" w:hAnsi="Arial" w:cs="Arial"/>
              </w:rPr>
              <w:t>The Investigator must also report the AE</w:t>
            </w:r>
            <w:r w:rsidR="00C17FBF" w:rsidRPr="00E6440F">
              <w:rPr>
                <w:rFonts w:ascii="Arial" w:hAnsi="Arial" w:cs="Arial"/>
              </w:rPr>
              <w:t xml:space="preserve"> to the monitoring entity (eg: s</w:t>
            </w:r>
            <w:r w:rsidRPr="00E6440F">
              <w:rPr>
                <w:rFonts w:ascii="Arial" w:hAnsi="Arial" w:cs="Arial"/>
              </w:rPr>
              <w:t>ponso</w:t>
            </w:r>
            <w:r w:rsidR="00BF322B">
              <w:rPr>
                <w:rFonts w:ascii="Arial" w:hAnsi="Arial" w:cs="Arial"/>
              </w:rPr>
              <w:t xml:space="preserve">r, CRO, etc.).  </w:t>
            </w:r>
          </w:p>
          <w:p w14:paraId="430F93B6" w14:textId="64F6449A" w:rsidR="00517CF5" w:rsidRPr="00E6440F" w:rsidRDefault="00517CF5" w:rsidP="0069273C">
            <w:pPr>
              <w:pStyle w:val="ListParagraph"/>
              <w:numPr>
                <w:ilvl w:val="0"/>
                <w:numId w:val="9"/>
              </w:numPr>
              <w:tabs>
                <w:tab w:val="left" w:pos="0"/>
              </w:tabs>
              <w:autoSpaceDE w:val="0"/>
              <w:autoSpaceDN w:val="0"/>
              <w:adjustRightInd w:val="0"/>
              <w:spacing w:after="0" w:line="240" w:lineRule="auto"/>
              <w:rPr>
                <w:rFonts w:ascii="Arial" w:hAnsi="Arial" w:cs="Arial"/>
              </w:rPr>
            </w:pPr>
            <w:r w:rsidRPr="00E6440F">
              <w:rPr>
                <w:rFonts w:ascii="Arial" w:hAnsi="Arial" w:cs="Arial"/>
              </w:rPr>
              <w:t>If the Investigator determines that an AE is not unanticipated, but the monitoring entity does find the AE to be unanticipated, the monitoring entity will submit repo</w:t>
            </w:r>
            <w:r w:rsidR="00BF322B">
              <w:rPr>
                <w:rFonts w:ascii="Arial" w:hAnsi="Arial" w:cs="Arial"/>
              </w:rPr>
              <w:t>rts to the Investigator and the External IRB</w:t>
            </w:r>
            <w:r w:rsidRPr="00E6440F">
              <w:rPr>
                <w:rFonts w:ascii="Arial" w:hAnsi="Arial" w:cs="Arial"/>
              </w:rPr>
              <w:t>.</w:t>
            </w:r>
          </w:p>
          <w:p w14:paraId="430F93B7" w14:textId="77777777" w:rsidR="00517CF5" w:rsidRPr="00E6440F" w:rsidRDefault="00517CF5" w:rsidP="002A704B">
            <w:pPr>
              <w:pStyle w:val="ListParagraph"/>
              <w:tabs>
                <w:tab w:val="left" w:pos="0"/>
              </w:tabs>
              <w:autoSpaceDE w:val="0"/>
              <w:autoSpaceDN w:val="0"/>
              <w:adjustRightInd w:val="0"/>
              <w:spacing w:after="0" w:line="240" w:lineRule="auto"/>
              <w:ind w:left="0"/>
              <w:rPr>
                <w:rFonts w:ascii="Arial" w:hAnsi="Arial" w:cs="Arial"/>
              </w:rPr>
            </w:pPr>
          </w:p>
          <w:p w14:paraId="430F93B8" w14:textId="77777777" w:rsidR="00517CF5" w:rsidRPr="00E6440F" w:rsidRDefault="00517CF5" w:rsidP="002A704B">
            <w:pPr>
              <w:pStyle w:val="ListParagraph"/>
              <w:numPr>
                <w:ilvl w:val="2"/>
                <w:numId w:val="2"/>
              </w:numPr>
              <w:tabs>
                <w:tab w:val="left" w:pos="0"/>
              </w:tabs>
              <w:autoSpaceDE w:val="0"/>
              <w:autoSpaceDN w:val="0"/>
              <w:adjustRightInd w:val="0"/>
              <w:spacing w:after="0" w:line="240" w:lineRule="auto"/>
              <w:ind w:left="0"/>
              <w:rPr>
                <w:rFonts w:ascii="Arial" w:hAnsi="Arial" w:cs="Arial"/>
                <w:b/>
              </w:rPr>
            </w:pPr>
            <w:r w:rsidRPr="00E6440F">
              <w:rPr>
                <w:rFonts w:ascii="Arial" w:hAnsi="Arial" w:cs="Arial"/>
                <w:b/>
              </w:rPr>
              <w:t>External Adverse Events</w:t>
            </w:r>
          </w:p>
          <w:p w14:paraId="430F93B9" w14:textId="77777777" w:rsidR="00517CF5" w:rsidRPr="00E6440F" w:rsidRDefault="00DD1DCF" w:rsidP="002A704B">
            <w:pPr>
              <w:pStyle w:val="ListParagraph"/>
              <w:numPr>
                <w:ilvl w:val="0"/>
                <w:numId w:val="10"/>
              </w:numPr>
              <w:tabs>
                <w:tab w:val="left" w:pos="0"/>
              </w:tabs>
              <w:autoSpaceDE w:val="0"/>
              <w:autoSpaceDN w:val="0"/>
              <w:adjustRightInd w:val="0"/>
              <w:spacing w:after="0" w:line="240" w:lineRule="auto"/>
              <w:ind w:left="0"/>
              <w:rPr>
                <w:rFonts w:ascii="Arial" w:hAnsi="Arial" w:cs="Arial"/>
              </w:rPr>
            </w:pPr>
            <w:r w:rsidRPr="00E6440F">
              <w:rPr>
                <w:rFonts w:ascii="Arial" w:hAnsi="Arial" w:cs="Arial"/>
              </w:rPr>
              <w:t>The I</w:t>
            </w:r>
            <w:r w:rsidR="00517CF5" w:rsidRPr="00E6440F">
              <w:rPr>
                <w:rFonts w:ascii="Arial" w:hAnsi="Arial" w:cs="Arial"/>
              </w:rPr>
              <w:t xml:space="preserve">nvestigator </w:t>
            </w:r>
            <w:r w:rsidR="00C17FBF" w:rsidRPr="00E6440F">
              <w:rPr>
                <w:rFonts w:ascii="Arial" w:hAnsi="Arial" w:cs="Arial"/>
              </w:rPr>
              <w:t>will be notified of external adverse events via reports by the sponsor or coordinating center of the multicenter clinical trials.</w:t>
            </w:r>
          </w:p>
          <w:p w14:paraId="430F93BA" w14:textId="77777777" w:rsidR="006F5C6A" w:rsidRPr="00E6440F" w:rsidRDefault="006F5C6A" w:rsidP="002A704B">
            <w:pPr>
              <w:tabs>
                <w:tab w:val="left" w:pos="0"/>
              </w:tabs>
              <w:autoSpaceDE w:val="0"/>
              <w:autoSpaceDN w:val="0"/>
              <w:adjustRightInd w:val="0"/>
              <w:spacing w:after="0" w:line="240" w:lineRule="auto"/>
              <w:rPr>
                <w:rFonts w:ascii="Arial" w:hAnsi="Arial" w:cs="Arial"/>
                <w:b/>
              </w:rPr>
            </w:pPr>
          </w:p>
          <w:p w14:paraId="430F93BB" w14:textId="77777777" w:rsidR="006F5C6A" w:rsidRPr="00E6440F" w:rsidRDefault="006F5C6A" w:rsidP="002A704B">
            <w:pPr>
              <w:tabs>
                <w:tab w:val="left" w:pos="0"/>
              </w:tabs>
              <w:autoSpaceDE w:val="0"/>
              <w:autoSpaceDN w:val="0"/>
              <w:adjustRightInd w:val="0"/>
              <w:spacing w:after="0" w:line="240" w:lineRule="auto"/>
              <w:rPr>
                <w:rFonts w:ascii="Arial" w:hAnsi="Arial" w:cs="Arial"/>
              </w:rPr>
            </w:pPr>
          </w:p>
        </w:tc>
      </w:tr>
    </w:tbl>
    <w:p w14:paraId="430F93BD" w14:textId="77777777" w:rsidR="006F5C6A" w:rsidRDefault="006F5C6A"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BE"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BF"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0"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1"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2"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3"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4"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5"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6"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7"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8"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9"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3CA"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tbl>
      <w:tblPr>
        <w:tblpPr w:leftFromText="180" w:rightFromText="180" w:vertAnchor="text" w:horzAnchor="margin" w:tblpY="1184"/>
        <w:tblW w:w="9885" w:type="dxa"/>
        <w:tblLayout w:type="fixed"/>
        <w:tblCellMar>
          <w:left w:w="0" w:type="dxa"/>
          <w:right w:w="0" w:type="dxa"/>
        </w:tblCellMar>
        <w:tblLook w:val="0000" w:firstRow="0" w:lastRow="0" w:firstColumn="0" w:lastColumn="0" w:noHBand="0" w:noVBand="0"/>
      </w:tblPr>
      <w:tblGrid>
        <w:gridCol w:w="2449"/>
        <w:gridCol w:w="7436"/>
      </w:tblGrid>
      <w:tr w:rsidR="002A704B" w:rsidRPr="00237202" w14:paraId="56D22EC0" w14:textId="77777777" w:rsidTr="00BF322B">
        <w:trPr>
          <w:trHeight w:hRule="exact" w:val="1440"/>
        </w:trPr>
        <w:tc>
          <w:tcPr>
            <w:tcW w:w="2449" w:type="dxa"/>
            <w:tcBorders>
              <w:top w:val="single" w:sz="4" w:space="0" w:color="000000"/>
              <w:left w:val="single" w:sz="4" w:space="0" w:color="000000"/>
              <w:bottom w:val="single" w:sz="4" w:space="0" w:color="000000"/>
              <w:right w:val="single" w:sz="4" w:space="0" w:color="000000"/>
            </w:tcBorders>
          </w:tcPr>
          <w:p w14:paraId="2F0D048D" w14:textId="77777777" w:rsidR="002A704B" w:rsidRPr="00237202" w:rsidRDefault="002A704B" w:rsidP="00BF322B">
            <w:pPr>
              <w:tabs>
                <w:tab w:val="left" w:pos="0"/>
              </w:tabs>
              <w:autoSpaceDE w:val="0"/>
              <w:autoSpaceDN w:val="0"/>
              <w:adjustRightInd w:val="0"/>
              <w:spacing w:before="4" w:after="0" w:line="240" w:lineRule="auto"/>
              <w:ind w:right="-20"/>
              <w:rPr>
                <w:rFonts w:ascii="Arial" w:hAnsi="Arial" w:cs="Arial"/>
              </w:rPr>
            </w:pPr>
            <w:r w:rsidRPr="00237202">
              <w:rPr>
                <w:rFonts w:ascii="Arial" w:hAnsi="Arial" w:cs="Arial"/>
                <w:b/>
                <w:bCs/>
                <w:spacing w:val="2"/>
                <w:w w:val="103"/>
              </w:rPr>
              <w:lastRenderedPageBreak/>
              <w:t>REFERENCES</w:t>
            </w:r>
            <w:r w:rsidRPr="00237202">
              <w:rPr>
                <w:rFonts w:ascii="Arial" w:hAnsi="Arial" w:cs="Arial"/>
                <w:b/>
                <w:bCs/>
                <w:w w:val="103"/>
              </w:rPr>
              <w:t>:</w:t>
            </w:r>
          </w:p>
        </w:tc>
        <w:tc>
          <w:tcPr>
            <w:tcW w:w="7436" w:type="dxa"/>
            <w:tcBorders>
              <w:top w:val="single" w:sz="4" w:space="0" w:color="000000"/>
              <w:left w:val="single" w:sz="4" w:space="0" w:color="000000"/>
              <w:bottom w:val="single" w:sz="4" w:space="0" w:color="000000"/>
              <w:right w:val="single" w:sz="4" w:space="0" w:color="000000"/>
            </w:tcBorders>
          </w:tcPr>
          <w:p w14:paraId="2174611B" w14:textId="77777777" w:rsidR="002A704B" w:rsidRDefault="002A704B" w:rsidP="00BF322B">
            <w:pPr>
              <w:pStyle w:val="Default"/>
              <w:tabs>
                <w:tab w:val="left" w:pos="0"/>
              </w:tabs>
              <w:rPr>
                <w:rFonts w:ascii="Arial" w:hAnsi="Arial" w:cs="Arial"/>
                <w:sz w:val="20"/>
                <w:szCs w:val="20"/>
              </w:rPr>
            </w:pPr>
            <w:r w:rsidRPr="00237202">
              <w:rPr>
                <w:rFonts w:ascii="Arial" w:hAnsi="Arial" w:cs="Arial"/>
                <w:sz w:val="20"/>
                <w:szCs w:val="20"/>
              </w:rPr>
              <w:t>OHRP Guidance on Reviewing and Reporting Unanticipated Problems Involving Risks to Subjects or Others and Adverse Events (January 15, 2007)</w:t>
            </w:r>
            <w:r>
              <w:rPr>
                <w:rFonts w:ascii="Arial" w:hAnsi="Arial" w:cs="Arial"/>
                <w:sz w:val="20"/>
                <w:szCs w:val="20"/>
              </w:rPr>
              <w:t xml:space="preserve">; FDA Guidance </w:t>
            </w:r>
            <w:r w:rsidRPr="00237202">
              <w:rPr>
                <w:rFonts w:ascii="Arial" w:hAnsi="Arial" w:cs="Arial"/>
                <w:sz w:val="20"/>
                <w:szCs w:val="20"/>
              </w:rPr>
              <w:t>Clinical Investigators, Sponsors, and IRBs Adverse Event Reporting to IRBs</w:t>
            </w:r>
            <w:r>
              <w:rPr>
                <w:rFonts w:ascii="Arial" w:hAnsi="Arial" w:cs="Arial"/>
                <w:sz w:val="20"/>
                <w:szCs w:val="20"/>
              </w:rPr>
              <w:t>-</w:t>
            </w:r>
            <w:r w:rsidRPr="00237202">
              <w:rPr>
                <w:rFonts w:ascii="Arial" w:hAnsi="Arial" w:cs="Arial"/>
                <w:sz w:val="20"/>
                <w:szCs w:val="20"/>
              </w:rPr>
              <w:t xml:space="preserve"> Improving Human Subject Protection (January 2009)</w:t>
            </w:r>
            <w:r>
              <w:rPr>
                <w:rFonts w:ascii="Arial" w:hAnsi="Arial" w:cs="Arial"/>
                <w:sz w:val="20"/>
                <w:szCs w:val="20"/>
              </w:rPr>
              <w:t>; 21 CFR 312.32; 21 CFR 56 Preamble; 21 CRF 56.108(b); 21 CFR 612.34</w:t>
            </w:r>
          </w:p>
          <w:p w14:paraId="08BDFC96" w14:textId="77777777" w:rsidR="002A704B" w:rsidRDefault="002A704B" w:rsidP="00BF322B">
            <w:pPr>
              <w:tabs>
                <w:tab w:val="left" w:pos="0"/>
              </w:tabs>
              <w:autoSpaceDE w:val="0"/>
              <w:autoSpaceDN w:val="0"/>
              <w:adjustRightInd w:val="0"/>
              <w:spacing w:before="4" w:after="0" w:line="240" w:lineRule="auto"/>
              <w:ind w:right="-20"/>
              <w:rPr>
                <w:rFonts w:ascii="Arial" w:hAnsi="Arial" w:cs="Arial"/>
                <w:sz w:val="20"/>
                <w:szCs w:val="20"/>
              </w:rPr>
            </w:pPr>
          </w:p>
          <w:p w14:paraId="7B8FCDAC" w14:textId="77777777" w:rsidR="002A704B" w:rsidRPr="00237202" w:rsidRDefault="002A704B" w:rsidP="00BF322B">
            <w:pPr>
              <w:tabs>
                <w:tab w:val="left" w:pos="0"/>
              </w:tabs>
              <w:autoSpaceDE w:val="0"/>
              <w:autoSpaceDN w:val="0"/>
              <w:adjustRightInd w:val="0"/>
              <w:spacing w:before="4" w:after="0" w:line="240" w:lineRule="auto"/>
              <w:ind w:right="-20"/>
              <w:rPr>
                <w:rFonts w:ascii="Arial" w:hAnsi="Arial" w:cs="Arial"/>
                <w:sz w:val="20"/>
                <w:szCs w:val="20"/>
              </w:rPr>
            </w:pPr>
          </w:p>
        </w:tc>
      </w:tr>
      <w:tr w:rsidR="002A704B" w:rsidRPr="001A559D" w14:paraId="0D01961B" w14:textId="77777777" w:rsidTr="00BF322B">
        <w:trPr>
          <w:trHeight w:hRule="exact" w:val="302"/>
        </w:trPr>
        <w:tc>
          <w:tcPr>
            <w:tcW w:w="2449" w:type="dxa"/>
            <w:tcBorders>
              <w:top w:val="single" w:sz="4" w:space="0" w:color="000000"/>
              <w:left w:val="single" w:sz="4" w:space="0" w:color="000000"/>
              <w:bottom w:val="single" w:sz="4" w:space="0" w:color="000000"/>
              <w:right w:val="single" w:sz="4" w:space="0" w:color="000000"/>
            </w:tcBorders>
          </w:tcPr>
          <w:p w14:paraId="585871E9" w14:textId="77777777" w:rsidR="002A704B" w:rsidRPr="001A559D" w:rsidRDefault="002A704B" w:rsidP="00BF322B">
            <w:pPr>
              <w:tabs>
                <w:tab w:val="left" w:pos="0"/>
              </w:tabs>
              <w:autoSpaceDE w:val="0"/>
              <w:autoSpaceDN w:val="0"/>
              <w:adjustRightInd w:val="0"/>
              <w:spacing w:after="0" w:line="240" w:lineRule="auto"/>
              <w:rPr>
                <w:rFonts w:ascii="Arial" w:hAnsi="Arial" w:cs="Arial"/>
              </w:rPr>
            </w:pPr>
          </w:p>
        </w:tc>
        <w:tc>
          <w:tcPr>
            <w:tcW w:w="7436" w:type="dxa"/>
            <w:tcBorders>
              <w:top w:val="single" w:sz="4" w:space="0" w:color="000000"/>
              <w:left w:val="single" w:sz="4" w:space="0" w:color="000000"/>
              <w:bottom w:val="single" w:sz="4" w:space="0" w:color="000000"/>
              <w:right w:val="single" w:sz="4" w:space="0" w:color="000000"/>
            </w:tcBorders>
          </w:tcPr>
          <w:p w14:paraId="5416E2A4" w14:textId="77777777" w:rsidR="002A704B" w:rsidRPr="001A559D" w:rsidRDefault="002A704B" w:rsidP="00BF322B">
            <w:pPr>
              <w:tabs>
                <w:tab w:val="left" w:pos="0"/>
              </w:tabs>
              <w:autoSpaceDE w:val="0"/>
              <w:autoSpaceDN w:val="0"/>
              <w:adjustRightInd w:val="0"/>
              <w:spacing w:after="0" w:line="240" w:lineRule="auto"/>
              <w:rPr>
                <w:rFonts w:ascii="Arial" w:hAnsi="Arial" w:cs="Arial"/>
              </w:rPr>
            </w:pPr>
          </w:p>
        </w:tc>
      </w:tr>
      <w:tr w:rsidR="002A704B" w:rsidRPr="004A4C11" w14:paraId="709EE06E" w14:textId="77777777" w:rsidTr="00BF322B">
        <w:trPr>
          <w:trHeight w:hRule="exact" w:val="861"/>
        </w:trPr>
        <w:tc>
          <w:tcPr>
            <w:tcW w:w="2449" w:type="dxa"/>
            <w:tcBorders>
              <w:top w:val="single" w:sz="4" w:space="0" w:color="000000"/>
              <w:left w:val="single" w:sz="4" w:space="0" w:color="000000"/>
              <w:bottom w:val="single" w:sz="4" w:space="0" w:color="000000"/>
              <w:right w:val="single" w:sz="4" w:space="0" w:color="000000"/>
            </w:tcBorders>
          </w:tcPr>
          <w:p w14:paraId="10E84C33" w14:textId="77777777" w:rsidR="002A704B" w:rsidRPr="001A559D" w:rsidRDefault="002A704B" w:rsidP="00BF322B">
            <w:pPr>
              <w:tabs>
                <w:tab w:val="left" w:pos="0"/>
              </w:tabs>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Pr>
                <w:rFonts w:ascii="Arial" w:hAnsi="Arial" w:cs="Arial"/>
                <w:b/>
                <w:bCs/>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436" w:type="dxa"/>
            <w:tcBorders>
              <w:top w:val="single" w:sz="4" w:space="0" w:color="000000"/>
              <w:left w:val="single" w:sz="4" w:space="0" w:color="000000"/>
              <w:bottom w:val="single" w:sz="4" w:space="0" w:color="000000"/>
              <w:right w:val="single" w:sz="4" w:space="0" w:color="000000"/>
            </w:tcBorders>
          </w:tcPr>
          <w:p w14:paraId="3ABFF175" w14:textId="05318F5F" w:rsidR="002A704B" w:rsidRPr="004A4C11" w:rsidRDefault="002A704B" w:rsidP="00BF322B">
            <w:pPr>
              <w:tabs>
                <w:tab w:val="left" w:pos="0"/>
              </w:tabs>
              <w:autoSpaceDE w:val="0"/>
              <w:autoSpaceDN w:val="0"/>
              <w:adjustRightInd w:val="0"/>
              <w:spacing w:before="4" w:after="0" w:line="240" w:lineRule="auto"/>
              <w:ind w:right="-20"/>
              <w:rPr>
                <w:rFonts w:ascii="Arial" w:hAnsi="Arial" w:cs="Arial"/>
                <w:sz w:val="20"/>
                <w:szCs w:val="20"/>
              </w:rPr>
            </w:pPr>
            <w:r w:rsidRPr="00541E69">
              <w:rPr>
                <w:rFonts w:ascii="Arial" w:hAnsi="Arial" w:cs="Arial"/>
                <w:sz w:val="20"/>
                <w:szCs w:val="20"/>
              </w:rPr>
              <w:t>21</w:t>
            </w:r>
            <w:r w:rsidR="005074FF">
              <w:rPr>
                <w:rFonts w:ascii="Arial" w:hAnsi="Arial" w:cs="Arial"/>
                <w:sz w:val="20"/>
                <w:szCs w:val="20"/>
              </w:rPr>
              <w:t xml:space="preserve"> CFR 612.34; USF IRB and Relied Upon IRBs policies</w:t>
            </w:r>
            <w:r>
              <w:rPr>
                <w:rFonts w:ascii="Arial" w:hAnsi="Arial" w:cs="Arial"/>
                <w:sz w:val="20"/>
                <w:szCs w:val="20"/>
              </w:rPr>
              <w:t xml:space="preserve">: Reporting Adverse Event and Unanticipated Problems involving Risk to Human Subjects or Others; </w:t>
            </w:r>
            <w:r w:rsidR="002047E5">
              <w:rPr>
                <w:rFonts w:ascii="Arial" w:hAnsi="Arial" w:cs="Arial"/>
                <w:sz w:val="20"/>
                <w:szCs w:val="20"/>
              </w:rPr>
              <w:t xml:space="preserve">SOP 501 Case Report Form Completion; </w:t>
            </w:r>
            <w:r w:rsidR="002047E5" w:rsidRPr="002047E5">
              <w:rPr>
                <w:rFonts w:ascii="Arial" w:hAnsi="Arial" w:cs="Arial"/>
                <w:sz w:val="20"/>
                <w:szCs w:val="20"/>
              </w:rPr>
              <w:t xml:space="preserve">SOP 502 </w:t>
            </w:r>
            <w:r w:rsidR="002047E5">
              <w:rPr>
                <w:rFonts w:ascii="Arial" w:hAnsi="Arial" w:cs="Arial"/>
                <w:sz w:val="20"/>
                <w:szCs w:val="20"/>
              </w:rPr>
              <w:t>Source Documentation</w:t>
            </w:r>
          </w:p>
        </w:tc>
      </w:tr>
      <w:tr w:rsidR="002A704B" w:rsidRPr="001A559D" w14:paraId="097D2FD8" w14:textId="77777777" w:rsidTr="00BF322B">
        <w:trPr>
          <w:trHeight w:hRule="exact" w:val="302"/>
        </w:trPr>
        <w:tc>
          <w:tcPr>
            <w:tcW w:w="2449" w:type="dxa"/>
            <w:tcBorders>
              <w:top w:val="single" w:sz="4" w:space="0" w:color="000000"/>
              <w:left w:val="single" w:sz="4" w:space="0" w:color="000000"/>
              <w:bottom w:val="single" w:sz="4" w:space="0" w:color="000000"/>
              <w:right w:val="single" w:sz="4" w:space="0" w:color="000000"/>
            </w:tcBorders>
          </w:tcPr>
          <w:p w14:paraId="1A14CE61" w14:textId="77777777" w:rsidR="002A704B" w:rsidRPr="001A559D" w:rsidRDefault="002A704B" w:rsidP="00BF322B">
            <w:pPr>
              <w:tabs>
                <w:tab w:val="left" w:pos="0"/>
              </w:tabs>
              <w:autoSpaceDE w:val="0"/>
              <w:autoSpaceDN w:val="0"/>
              <w:adjustRightInd w:val="0"/>
              <w:spacing w:after="0" w:line="240" w:lineRule="auto"/>
              <w:rPr>
                <w:rFonts w:ascii="Arial" w:hAnsi="Arial" w:cs="Arial"/>
              </w:rPr>
            </w:pPr>
          </w:p>
        </w:tc>
        <w:tc>
          <w:tcPr>
            <w:tcW w:w="7436" w:type="dxa"/>
            <w:tcBorders>
              <w:top w:val="single" w:sz="4" w:space="0" w:color="000000"/>
              <w:left w:val="single" w:sz="4" w:space="0" w:color="000000"/>
              <w:bottom w:val="single" w:sz="4" w:space="0" w:color="000000"/>
              <w:right w:val="single" w:sz="4" w:space="0" w:color="000000"/>
            </w:tcBorders>
          </w:tcPr>
          <w:p w14:paraId="2B3E20CD" w14:textId="77777777" w:rsidR="002A704B" w:rsidRPr="001A559D" w:rsidRDefault="002A704B" w:rsidP="00BF322B">
            <w:pPr>
              <w:tabs>
                <w:tab w:val="left" w:pos="0"/>
              </w:tabs>
              <w:autoSpaceDE w:val="0"/>
              <w:autoSpaceDN w:val="0"/>
              <w:adjustRightInd w:val="0"/>
              <w:spacing w:after="0" w:line="240" w:lineRule="auto"/>
              <w:rPr>
                <w:rFonts w:ascii="Arial" w:hAnsi="Arial" w:cs="Arial"/>
              </w:rPr>
            </w:pPr>
          </w:p>
        </w:tc>
      </w:tr>
      <w:tr w:rsidR="002A704B" w:rsidRPr="00FA4044" w14:paraId="20076079" w14:textId="77777777" w:rsidTr="00BF322B">
        <w:trPr>
          <w:trHeight w:hRule="exact" w:val="1180"/>
        </w:trPr>
        <w:tc>
          <w:tcPr>
            <w:tcW w:w="2449" w:type="dxa"/>
            <w:tcBorders>
              <w:top w:val="single" w:sz="4" w:space="0" w:color="000000"/>
              <w:left w:val="single" w:sz="4" w:space="0" w:color="000000"/>
              <w:bottom w:val="single" w:sz="4" w:space="0" w:color="000000"/>
              <w:right w:val="single" w:sz="4" w:space="0" w:color="000000"/>
            </w:tcBorders>
          </w:tcPr>
          <w:p w14:paraId="22A11D01" w14:textId="77777777" w:rsidR="002A704B" w:rsidRPr="001A559D" w:rsidRDefault="002A704B" w:rsidP="00BF322B">
            <w:pPr>
              <w:tabs>
                <w:tab w:val="left" w:pos="0"/>
              </w:tabs>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436" w:type="dxa"/>
            <w:tcBorders>
              <w:top w:val="single" w:sz="4" w:space="0" w:color="000000"/>
              <w:left w:val="single" w:sz="4" w:space="0" w:color="000000"/>
              <w:bottom w:val="single" w:sz="4" w:space="0" w:color="000000"/>
              <w:right w:val="single" w:sz="4" w:space="0" w:color="000000"/>
            </w:tcBorders>
          </w:tcPr>
          <w:p w14:paraId="007C44F2" w14:textId="77777777" w:rsidR="00823FC3" w:rsidRPr="00823FC3" w:rsidRDefault="00823FC3" w:rsidP="00BF322B">
            <w:pPr>
              <w:tabs>
                <w:tab w:val="left" w:pos="0"/>
              </w:tabs>
              <w:autoSpaceDE w:val="0"/>
              <w:autoSpaceDN w:val="0"/>
              <w:adjustRightInd w:val="0"/>
              <w:spacing w:before="4" w:after="0" w:line="240" w:lineRule="auto"/>
              <w:ind w:right="-20"/>
              <w:rPr>
                <w:rFonts w:ascii="Arial" w:hAnsi="Arial" w:cs="Arial"/>
                <w:spacing w:val="2"/>
                <w:w w:val="103"/>
                <w:sz w:val="20"/>
                <w:szCs w:val="20"/>
              </w:rPr>
            </w:pPr>
            <w:r w:rsidRPr="00823FC3">
              <w:rPr>
                <w:rFonts w:ascii="Arial" w:hAnsi="Arial" w:cs="Arial"/>
                <w:spacing w:val="2"/>
                <w:w w:val="103"/>
                <w:sz w:val="20"/>
                <w:szCs w:val="20"/>
              </w:rPr>
              <w:t>Appendix L: Flow Diagram for AE Reporting</w:t>
            </w:r>
          </w:p>
          <w:p w14:paraId="19E2774C" w14:textId="5E94928E" w:rsidR="00823FC3" w:rsidRPr="00FA4044" w:rsidRDefault="00823FC3" w:rsidP="00BF322B">
            <w:pPr>
              <w:tabs>
                <w:tab w:val="left" w:pos="0"/>
              </w:tabs>
              <w:autoSpaceDE w:val="0"/>
              <w:autoSpaceDN w:val="0"/>
              <w:adjustRightInd w:val="0"/>
              <w:spacing w:before="4" w:after="0" w:line="240" w:lineRule="auto"/>
              <w:ind w:right="-20"/>
              <w:rPr>
                <w:rFonts w:ascii="Arial" w:hAnsi="Arial" w:cs="Arial"/>
                <w:sz w:val="20"/>
                <w:szCs w:val="20"/>
              </w:rPr>
            </w:pPr>
            <w:r w:rsidRPr="00823FC3">
              <w:rPr>
                <w:rFonts w:ascii="Arial" w:hAnsi="Arial" w:cs="Arial"/>
                <w:spacing w:val="2"/>
                <w:w w:val="103"/>
                <w:sz w:val="20"/>
                <w:szCs w:val="20"/>
              </w:rPr>
              <w:t>Appendix O: Adverse Event Tracking Log</w:t>
            </w:r>
          </w:p>
        </w:tc>
      </w:tr>
      <w:tr w:rsidR="002A704B" w:rsidRPr="001A559D" w14:paraId="57D12CF6" w14:textId="77777777" w:rsidTr="00BF322B">
        <w:trPr>
          <w:trHeight w:hRule="exact" w:val="302"/>
        </w:trPr>
        <w:tc>
          <w:tcPr>
            <w:tcW w:w="2449" w:type="dxa"/>
            <w:tcBorders>
              <w:top w:val="single" w:sz="4" w:space="0" w:color="000000"/>
              <w:left w:val="single" w:sz="4" w:space="0" w:color="000000"/>
              <w:bottom w:val="single" w:sz="4" w:space="0" w:color="000000"/>
              <w:right w:val="single" w:sz="4" w:space="0" w:color="000000"/>
            </w:tcBorders>
          </w:tcPr>
          <w:p w14:paraId="560CCED5" w14:textId="0A4A8ABA" w:rsidR="002A704B" w:rsidRPr="001A559D" w:rsidRDefault="002A704B" w:rsidP="00BF322B">
            <w:pPr>
              <w:tabs>
                <w:tab w:val="left" w:pos="0"/>
              </w:tabs>
              <w:autoSpaceDE w:val="0"/>
              <w:autoSpaceDN w:val="0"/>
              <w:adjustRightInd w:val="0"/>
              <w:spacing w:after="0" w:line="240" w:lineRule="auto"/>
              <w:rPr>
                <w:rFonts w:ascii="Arial" w:hAnsi="Arial" w:cs="Arial"/>
              </w:rPr>
            </w:pPr>
          </w:p>
        </w:tc>
        <w:tc>
          <w:tcPr>
            <w:tcW w:w="7436" w:type="dxa"/>
            <w:tcBorders>
              <w:top w:val="single" w:sz="4" w:space="0" w:color="000000"/>
              <w:left w:val="single" w:sz="4" w:space="0" w:color="000000"/>
              <w:bottom w:val="single" w:sz="4" w:space="0" w:color="000000"/>
              <w:right w:val="single" w:sz="4" w:space="0" w:color="000000"/>
            </w:tcBorders>
          </w:tcPr>
          <w:p w14:paraId="4467A928" w14:textId="77777777" w:rsidR="002A704B" w:rsidRPr="001A559D" w:rsidRDefault="002A704B" w:rsidP="00BF322B">
            <w:pPr>
              <w:tabs>
                <w:tab w:val="left" w:pos="0"/>
              </w:tabs>
              <w:autoSpaceDE w:val="0"/>
              <w:autoSpaceDN w:val="0"/>
              <w:adjustRightInd w:val="0"/>
              <w:spacing w:after="0" w:line="240" w:lineRule="auto"/>
              <w:rPr>
                <w:rFonts w:ascii="Arial" w:hAnsi="Arial" w:cs="Arial"/>
              </w:rPr>
            </w:pPr>
          </w:p>
        </w:tc>
      </w:tr>
      <w:tr w:rsidR="002A704B" w:rsidRPr="001A559D" w14:paraId="12114969" w14:textId="77777777" w:rsidTr="00BF322B">
        <w:trPr>
          <w:trHeight w:hRule="exact" w:val="408"/>
        </w:trPr>
        <w:tc>
          <w:tcPr>
            <w:tcW w:w="9885" w:type="dxa"/>
            <w:gridSpan w:val="2"/>
            <w:tcBorders>
              <w:top w:val="single" w:sz="4" w:space="0" w:color="000000"/>
              <w:left w:val="single" w:sz="4" w:space="0" w:color="000000"/>
              <w:bottom w:val="single" w:sz="4" w:space="0" w:color="000000"/>
              <w:right w:val="single" w:sz="4" w:space="0" w:color="000000"/>
            </w:tcBorders>
          </w:tcPr>
          <w:p w14:paraId="0EB6B382" w14:textId="77777777" w:rsidR="002A704B" w:rsidRPr="001A559D" w:rsidRDefault="002A704B" w:rsidP="00BF322B">
            <w:pPr>
              <w:tabs>
                <w:tab w:val="left" w:pos="0"/>
              </w:tabs>
              <w:autoSpaceDE w:val="0"/>
              <w:autoSpaceDN w:val="0"/>
              <w:adjustRightInd w:val="0"/>
              <w:spacing w:before="4" w:after="0" w:line="240" w:lineRule="auto"/>
              <w:ind w:right="-20"/>
              <w:rPr>
                <w:rFonts w:ascii="Arial" w:hAnsi="Arial" w:cs="Arial"/>
              </w:rPr>
            </w:pPr>
            <w:r>
              <w:rPr>
                <w:rFonts w:ascii="Arial" w:hAnsi="Arial" w:cs="Arial"/>
                <w:b/>
                <w:bCs/>
                <w:w w:val="103"/>
              </w:rPr>
              <w:t>REVISION HISTORY</w:t>
            </w:r>
            <w:r w:rsidRPr="001A559D">
              <w:rPr>
                <w:rFonts w:ascii="Arial" w:hAnsi="Arial" w:cs="Arial"/>
                <w:b/>
                <w:bCs/>
                <w:w w:val="103"/>
              </w:rPr>
              <w:t>:</w:t>
            </w:r>
            <w:r>
              <w:rPr>
                <w:rFonts w:ascii="Arial" w:hAnsi="Arial" w:cs="Arial"/>
                <w:b/>
                <w:bCs/>
                <w:w w:val="103"/>
              </w:rPr>
              <w:t xml:space="preserve"> </w:t>
            </w:r>
            <w:r w:rsidRPr="00CF68B1">
              <w:rPr>
                <w:rFonts w:ascii="Arial" w:hAnsi="Arial" w:cs="Arial"/>
                <w:bCs/>
                <w:w w:val="103"/>
                <w:sz w:val="20"/>
                <w:szCs w:val="20"/>
              </w:rPr>
              <w:t>Keep a running history of all revision dates</w:t>
            </w:r>
          </w:p>
        </w:tc>
      </w:tr>
      <w:tr w:rsidR="002A704B" w14:paraId="19A06473" w14:textId="77777777" w:rsidTr="00BF322B">
        <w:trPr>
          <w:trHeight w:hRule="exact" w:val="363"/>
        </w:trPr>
        <w:tc>
          <w:tcPr>
            <w:tcW w:w="9885" w:type="dxa"/>
            <w:gridSpan w:val="2"/>
            <w:tcBorders>
              <w:top w:val="single" w:sz="4" w:space="0" w:color="000000"/>
              <w:left w:val="single" w:sz="4" w:space="0" w:color="000000"/>
              <w:bottom w:val="single" w:sz="4" w:space="0" w:color="000000"/>
              <w:right w:val="single" w:sz="4" w:space="0" w:color="000000"/>
            </w:tcBorders>
          </w:tcPr>
          <w:p w14:paraId="3C3A0A0D" w14:textId="77777777" w:rsidR="002A704B" w:rsidRDefault="002A704B" w:rsidP="00BF322B">
            <w:pPr>
              <w:tabs>
                <w:tab w:val="left" w:pos="0"/>
              </w:tabs>
              <w:autoSpaceDE w:val="0"/>
              <w:autoSpaceDN w:val="0"/>
              <w:adjustRightInd w:val="0"/>
              <w:spacing w:before="4" w:after="0" w:line="240" w:lineRule="auto"/>
              <w:ind w:right="-20"/>
              <w:rPr>
                <w:rFonts w:ascii="Arial" w:hAnsi="Arial" w:cs="Arial"/>
                <w:b/>
                <w:bCs/>
                <w:w w:val="103"/>
              </w:rPr>
            </w:pPr>
          </w:p>
        </w:tc>
      </w:tr>
      <w:tr w:rsidR="002A704B" w:rsidRPr="001A559D" w14:paraId="759A86C5" w14:textId="77777777" w:rsidTr="00BF322B">
        <w:trPr>
          <w:trHeight w:hRule="exact" w:val="1575"/>
        </w:trPr>
        <w:tc>
          <w:tcPr>
            <w:tcW w:w="9885" w:type="dxa"/>
            <w:gridSpan w:val="2"/>
            <w:tcBorders>
              <w:top w:val="single" w:sz="4" w:space="0" w:color="000000"/>
              <w:left w:val="single" w:sz="4" w:space="0" w:color="000000"/>
              <w:bottom w:val="single" w:sz="4" w:space="0" w:color="000000"/>
              <w:right w:val="single" w:sz="4" w:space="0" w:color="000000"/>
            </w:tcBorders>
          </w:tcPr>
          <w:tbl>
            <w:tblPr>
              <w:tblStyle w:val="TableGrid"/>
              <w:tblW w:w="10502" w:type="dxa"/>
              <w:tblInd w:w="1" w:type="dxa"/>
              <w:tblLayout w:type="fixed"/>
              <w:tblLook w:val="04A0" w:firstRow="1" w:lastRow="0" w:firstColumn="1" w:lastColumn="0" w:noHBand="0" w:noVBand="1"/>
            </w:tblPr>
            <w:tblGrid>
              <w:gridCol w:w="3500"/>
              <w:gridCol w:w="3501"/>
              <w:gridCol w:w="3501"/>
            </w:tblGrid>
            <w:tr w:rsidR="002A704B" w14:paraId="33F8EF72" w14:textId="77777777" w:rsidTr="00BF322B">
              <w:trPr>
                <w:trHeight w:val="363"/>
              </w:trPr>
              <w:tc>
                <w:tcPr>
                  <w:tcW w:w="3500" w:type="dxa"/>
                </w:tcPr>
                <w:p w14:paraId="393A4D72" w14:textId="77777777" w:rsidR="002A704B" w:rsidRDefault="002A704B" w:rsidP="00BF322B">
                  <w:pPr>
                    <w:framePr w:hSpace="180" w:wrap="around" w:vAnchor="text" w:hAnchor="margin" w:y="1184"/>
                    <w:tabs>
                      <w:tab w:val="left" w:pos="0"/>
                    </w:tabs>
                    <w:autoSpaceDE w:val="0"/>
                    <w:autoSpaceDN w:val="0"/>
                    <w:adjustRightInd w:val="0"/>
                    <w:spacing w:before="4"/>
                    <w:ind w:right="-20"/>
                    <w:rPr>
                      <w:rFonts w:ascii="Arial" w:hAnsi="Arial" w:cs="Arial"/>
                      <w:b/>
                      <w:bCs/>
                      <w:spacing w:val="2"/>
                      <w:position w:val="-12"/>
                    </w:rPr>
                  </w:pPr>
                  <w:r>
                    <w:rPr>
                      <w:rFonts w:ascii="Arial" w:hAnsi="Arial" w:cs="Arial"/>
                      <w:b/>
                      <w:bCs/>
                      <w:spacing w:val="2"/>
                      <w:position w:val="-12"/>
                    </w:rPr>
                    <w:t>Approval Date</w:t>
                  </w:r>
                </w:p>
              </w:tc>
              <w:tc>
                <w:tcPr>
                  <w:tcW w:w="3501" w:type="dxa"/>
                </w:tcPr>
                <w:p w14:paraId="0CB9D4B3" w14:textId="77777777" w:rsidR="002A704B" w:rsidRDefault="002A704B" w:rsidP="00BF322B">
                  <w:pPr>
                    <w:framePr w:hSpace="180" w:wrap="around" w:vAnchor="text" w:hAnchor="margin" w:y="1184"/>
                    <w:tabs>
                      <w:tab w:val="left" w:pos="0"/>
                    </w:tabs>
                    <w:autoSpaceDE w:val="0"/>
                    <w:autoSpaceDN w:val="0"/>
                    <w:adjustRightInd w:val="0"/>
                    <w:spacing w:before="4"/>
                    <w:ind w:right="-20"/>
                    <w:rPr>
                      <w:rFonts w:ascii="Arial" w:hAnsi="Arial" w:cs="Arial"/>
                      <w:b/>
                      <w:bCs/>
                      <w:spacing w:val="2"/>
                      <w:position w:val="-12"/>
                    </w:rPr>
                  </w:pPr>
                  <w:r>
                    <w:rPr>
                      <w:rFonts w:ascii="Arial" w:hAnsi="Arial" w:cs="Arial"/>
                      <w:b/>
                      <w:bCs/>
                      <w:spacing w:val="2"/>
                      <w:position w:val="-12"/>
                    </w:rPr>
                    <w:t>Effective Date</w:t>
                  </w:r>
                </w:p>
              </w:tc>
              <w:tc>
                <w:tcPr>
                  <w:tcW w:w="3501" w:type="dxa"/>
                </w:tcPr>
                <w:p w14:paraId="5021990A" w14:textId="77777777" w:rsidR="002A704B" w:rsidRDefault="002A704B" w:rsidP="00BF322B">
                  <w:pPr>
                    <w:framePr w:hSpace="180" w:wrap="around" w:vAnchor="text" w:hAnchor="margin" w:y="1184"/>
                    <w:tabs>
                      <w:tab w:val="left" w:pos="0"/>
                    </w:tabs>
                    <w:autoSpaceDE w:val="0"/>
                    <w:autoSpaceDN w:val="0"/>
                    <w:adjustRightInd w:val="0"/>
                    <w:spacing w:before="4"/>
                    <w:ind w:right="-20"/>
                    <w:rPr>
                      <w:rFonts w:ascii="Arial" w:hAnsi="Arial" w:cs="Arial"/>
                      <w:b/>
                      <w:bCs/>
                      <w:spacing w:val="2"/>
                      <w:position w:val="-12"/>
                    </w:rPr>
                  </w:pPr>
                  <w:r>
                    <w:rPr>
                      <w:rFonts w:ascii="Arial" w:hAnsi="Arial" w:cs="Arial"/>
                      <w:b/>
                      <w:bCs/>
                      <w:spacing w:val="2"/>
                      <w:position w:val="-12"/>
                    </w:rPr>
                    <w:t>Review/Revision Date</w:t>
                  </w:r>
                </w:p>
              </w:tc>
            </w:tr>
            <w:tr w:rsidR="002A704B" w14:paraId="70525E05" w14:textId="77777777" w:rsidTr="00BF322B">
              <w:trPr>
                <w:trHeight w:val="363"/>
              </w:trPr>
              <w:tc>
                <w:tcPr>
                  <w:tcW w:w="3500" w:type="dxa"/>
                </w:tcPr>
                <w:p w14:paraId="7006C7F2" w14:textId="47E82705" w:rsidR="002A704B" w:rsidRDefault="001812D9" w:rsidP="00BF322B">
                  <w:pPr>
                    <w:framePr w:hSpace="180" w:wrap="around" w:vAnchor="text" w:hAnchor="margin" w:y="1184"/>
                    <w:tabs>
                      <w:tab w:val="left" w:pos="0"/>
                    </w:tabs>
                    <w:autoSpaceDE w:val="0"/>
                    <w:autoSpaceDN w:val="0"/>
                    <w:adjustRightInd w:val="0"/>
                    <w:spacing w:before="4"/>
                    <w:ind w:right="-20"/>
                    <w:rPr>
                      <w:rFonts w:ascii="Arial" w:hAnsi="Arial" w:cs="Arial"/>
                      <w:b/>
                      <w:bCs/>
                      <w:spacing w:val="2"/>
                      <w:position w:val="-12"/>
                    </w:rPr>
                  </w:pPr>
                  <w:r>
                    <w:rPr>
                      <w:rFonts w:ascii="Arial" w:hAnsi="Arial" w:cs="Arial"/>
                      <w:b/>
                      <w:bCs/>
                      <w:spacing w:val="2"/>
                      <w:position w:val="-12"/>
                    </w:rPr>
                    <w:t>01/01/2015</w:t>
                  </w:r>
                </w:p>
              </w:tc>
              <w:tc>
                <w:tcPr>
                  <w:tcW w:w="3501" w:type="dxa"/>
                </w:tcPr>
                <w:p w14:paraId="4F317F75" w14:textId="302DBC57" w:rsidR="002A704B" w:rsidRDefault="001812D9" w:rsidP="00BF322B">
                  <w:pPr>
                    <w:framePr w:hSpace="180" w:wrap="around" w:vAnchor="text" w:hAnchor="margin" w:y="1184"/>
                    <w:tabs>
                      <w:tab w:val="left" w:pos="0"/>
                    </w:tabs>
                    <w:autoSpaceDE w:val="0"/>
                    <w:autoSpaceDN w:val="0"/>
                    <w:adjustRightInd w:val="0"/>
                    <w:spacing w:before="4"/>
                    <w:ind w:right="-20"/>
                    <w:rPr>
                      <w:rFonts w:ascii="Arial" w:hAnsi="Arial" w:cs="Arial"/>
                      <w:b/>
                      <w:bCs/>
                      <w:spacing w:val="2"/>
                      <w:position w:val="-12"/>
                    </w:rPr>
                  </w:pPr>
                  <w:r>
                    <w:rPr>
                      <w:rFonts w:ascii="Arial" w:hAnsi="Arial" w:cs="Arial"/>
                      <w:b/>
                      <w:bCs/>
                      <w:spacing w:val="2"/>
                      <w:position w:val="-12"/>
                    </w:rPr>
                    <w:t>01/01/2015</w:t>
                  </w:r>
                  <w:bookmarkStart w:id="0" w:name="_GoBack"/>
                  <w:bookmarkEnd w:id="0"/>
                </w:p>
              </w:tc>
              <w:tc>
                <w:tcPr>
                  <w:tcW w:w="3501" w:type="dxa"/>
                </w:tcPr>
                <w:p w14:paraId="38F37EC0" w14:textId="77777777" w:rsidR="002A704B" w:rsidRDefault="002A704B" w:rsidP="00BF322B">
                  <w:pPr>
                    <w:framePr w:hSpace="180" w:wrap="around" w:vAnchor="text" w:hAnchor="margin" w:y="1184"/>
                    <w:tabs>
                      <w:tab w:val="left" w:pos="0"/>
                    </w:tabs>
                    <w:autoSpaceDE w:val="0"/>
                    <w:autoSpaceDN w:val="0"/>
                    <w:adjustRightInd w:val="0"/>
                    <w:spacing w:before="4"/>
                    <w:ind w:right="-20"/>
                    <w:rPr>
                      <w:rFonts w:ascii="Arial" w:hAnsi="Arial" w:cs="Arial"/>
                      <w:b/>
                      <w:bCs/>
                      <w:spacing w:val="2"/>
                      <w:position w:val="-12"/>
                    </w:rPr>
                  </w:pPr>
                </w:p>
              </w:tc>
            </w:tr>
            <w:tr w:rsidR="002A704B" w14:paraId="71AA7198" w14:textId="77777777" w:rsidTr="00BF322B">
              <w:trPr>
                <w:trHeight w:val="363"/>
              </w:trPr>
              <w:tc>
                <w:tcPr>
                  <w:tcW w:w="3500" w:type="dxa"/>
                </w:tcPr>
                <w:p w14:paraId="22EDD097" w14:textId="77777777" w:rsidR="002A704B" w:rsidRDefault="002A704B" w:rsidP="00BF322B">
                  <w:pPr>
                    <w:framePr w:hSpace="180" w:wrap="around" w:vAnchor="text" w:hAnchor="margin" w:y="1184"/>
                    <w:tabs>
                      <w:tab w:val="left" w:pos="0"/>
                    </w:tabs>
                    <w:autoSpaceDE w:val="0"/>
                    <w:autoSpaceDN w:val="0"/>
                    <w:adjustRightInd w:val="0"/>
                    <w:spacing w:before="4"/>
                    <w:ind w:right="-20"/>
                    <w:rPr>
                      <w:rFonts w:ascii="Arial" w:hAnsi="Arial" w:cs="Arial"/>
                      <w:b/>
                      <w:bCs/>
                      <w:spacing w:val="2"/>
                      <w:position w:val="-12"/>
                    </w:rPr>
                  </w:pPr>
                </w:p>
              </w:tc>
              <w:tc>
                <w:tcPr>
                  <w:tcW w:w="3501" w:type="dxa"/>
                </w:tcPr>
                <w:p w14:paraId="1868048E" w14:textId="77777777" w:rsidR="002A704B" w:rsidRDefault="002A704B" w:rsidP="00BF322B">
                  <w:pPr>
                    <w:framePr w:hSpace="180" w:wrap="around" w:vAnchor="text" w:hAnchor="margin" w:y="1184"/>
                    <w:tabs>
                      <w:tab w:val="left" w:pos="0"/>
                    </w:tabs>
                    <w:autoSpaceDE w:val="0"/>
                    <w:autoSpaceDN w:val="0"/>
                    <w:adjustRightInd w:val="0"/>
                    <w:spacing w:before="4"/>
                    <w:ind w:right="-20"/>
                    <w:rPr>
                      <w:rFonts w:ascii="Arial" w:hAnsi="Arial" w:cs="Arial"/>
                      <w:b/>
                      <w:bCs/>
                      <w:spacing w:val="2"/>
                      <w:position w:val="-12"/>
                    </w:rPr>
                  </w:pPr>
                </w:p>
              </w:tc>
              <w:tc>
                <w:tcPr>
                  <w:tcW w:w="3501" w:type="dxa"/>
                </w:tcPr>
                <w:p w14:paraId="69836AF0" w14:textId="77777777" w:rsidR="002A704B" w:rsidRDefault="002A704B" w:rsidP="00BF322B">
                  <w:pPr>
                    <w:framePr w:hSpace="180" w:wrap="around" w:vAnchor="text" w:hAnchor="margin" w:y="1184"/>
                    <w:tabs>
                      <w:tab w:val="left" w:pos="0"/>
                    </w:tabs>
                    <w:autoSpaceDE w:val="0"/>
                    <w:autoSpaceDN w:val="0"/>
                    <w:adjustRightInd w:val="0"/>
                    <w:spacing w:before="4"/>
                    <w:ind w:right="-20"/>
                    <w:rPr>
                      <w:rFonts w:ascii="Arial" w:hAnsi="Arial" w:cs="Arial"/>
                      <w:b/>
                      <w:bCs/>
                      <w:spacing w:val="2"/>
                      <w:position w:val="-12"/>
                    </w:rPr>
                  </w:pPr>
                </w:p>
              </w:tc>
            </w:tr>
            <w:tr w:rsidR="002A704B" w14:paraId="6D0DFABE" w14:textId="77777777" w:rsidTr="00BF322B">
              <w:trPr>
                <w:trHeight w:val="363"/>
              </w:trPr>
              <w:tc>
                <w:tcPr>
                  <w:tcW w:w="3500" w:type="dxa"/>
                </w:tcPr>
                <w:p w14:paraId="32D4D073" w14:textId="77777777" w:rsidR="002A704B" w:rsidRDefault="002A704B" w:rsidP="00BF322B">
                  <w:pPr>
                    <w:framePr w:hSpace="180" w:wrap="around" w:vAnchor="text" w:hAnchor="margin" w:y="1184"/>
                    <w:tabs>
                      <w:tab w:val="left" w:pos="0"/>
                    </w:tabs>
                    <w:autoSpaceDE w:val="0"/>
                    <w:autoSpaceDN w:val="0"/>
                    <w:adjustRightInd w:val="0"/>
                    <w:spacing w:before="4"/>
                    <w:ind w:right="-20"/>
                    <w:rPr>
                      <w:rFonts w:ascii="Arial" w:hAnsi="Arial" w:cs="Arial"/>
                      <w:b/>
                      <w:bCs/>
                      <w:spacing w:val="2"/>
                      <w:position w:val="-12"/>
                    </w:rPr>
                  </w:pPr>
                </w:p>
              </w:tc>
              <w:tc>
                <w:tcPr>
                  <w:tcW w:w="3501" w:type="dxa"/>
                </w:tcPr>
                <w:p w14:paraId="294DABE9" w14:textId="77777777" w:rsidR="002A704B" w:rsidRDefault="002A704B" w:rsidP="00BF322B">
                  <w:pPr>
                    <w:framePr w:hSpace="180" w:wrap="around" w:vAnchor="text" w:hAnchor="margin" w:y="1184"/>
                    <w:tabs>
                      <w:tab w:val="left" w:pos="0"/>
                    </w:tabs>
                    <w:autoSpaceDE w:val="0"/>
                    <w:autoSpaceDN w:val="0"/>
                    <w:adjustRightInd w:val="0"/>
                    <w:spacing w:before="4"/>
                    <w:ind w:right="-20"/>
                    <w:rPr>
                      <w:rFonts w:ascii="Arial" w:hAnsi="Arial" w:cs="Arial"/>
                      <w:b/>
                      <w:bCs/>
                      <w:spacing w:val="2"/>
                      <w:position w:val="-12"/>
                    </w:rPr>
                  </w:pPr>
                </w:p>
              </w:tc>
              <w:tc>
                <w:tcPr>
                  <w:tcW w:w="3501" w:type="dxa"/>
                </w:tcPr>
                <w:p w14:paraId="23C8E535" w14:textId="77777777" w:rsidR="002A704B" w:rsidRDefault="002A704B" w:rsidP="00BF322B">
                  <w:pPr>
                    <w:framePr w:hSpace="180" w:wrap="around" w:vAnchor="text" w:hAnchor="margin" w:y="1184"/>
                    <w:tabs>
                      <w:tab w:val="left" w:pos="0"/>
                    </w:tabs>
                    <w:autoSpaceDE w:val="0"/>
                    <w:autoSpaceDN w:val="0"/>
                    <w:adjustRightInd w:val="0"/>
                    <w:spacing w:before="4"/>
                    <w:ind w:right="-20"/>
                    <w:rPr>
                      <w:rFonts w:ascii="Arial" w:hAnsi="Arial" w:cs="Arial"/>
                      <w:b/>
                      <w:bCs/>
                      <w:spacing w:val="2"/>
                      <w:position w:val="-12"/>
                    </w:rPr>
                  </w:pPr>
                </w:p>
              </w:tc>
            </w:tr>
          </w:tbl>
          <w:p w14:paraId="4C5938B8" w14:textId="77777777" w:rsidR="002A704B" w:rsidRDefault="002A704B" w:rsidP="00BF322B">
            <w:pPr>
              <w:tabs>
                <w:tab w:val="left" w:pos="0"/>
              </w:tabs>
              <w:autoSpaceDE w:val="0"/>
              <w:autoSpaceDN w:val="0"/>
              <w:adjustRightInd w:val="0"/>
              <w:spacing w:before="4" w:after="0" w:line="240" w:lineRule="auto"/>
              <w:ind w:right="-20"/>
              <w:rPr>
                <w:rFonts w:ascii="Arial" w:hAnsi="Arial" w:cs="Arial"/>
                <w:b/>
                <w:bCs/>
                <w:spacing w:val="2"/>
                <w:position w:val="-12"/>
              </w:rPr>
            </w:pPr>
          </w:p>
          <w:p w14:paraId="15E1C1B0" w14:textId="77777777" w:rsidR="002A704B" w:rsidRDefault="002A704B" w:rsidP="00BF322B">
            <w:pPr>
              <w:tabs>
                <w:tab w:val="left" w:pos="0"/>
              </w:tabs>
              <w:autoSpaceDE w:val="0"/>
              <w:autoSpaceDN w:val="0"/>
              <w:adjustRightInd w:val="0"/>
              <w:spacing w:before="4" w:after="0" w:line="240" w:lineRule="auto"/>
              <w:ind w:right="-20"/>
              <w:rPr>
                <w:rFonts w:ascii="Arial" w:hAnsi="Arial" w:cs="Arial"/>
                <w:b/>
                <w:bCs/>
                <w:spacing w:val="2"/>
                <w:position w:val="-12"/>
              </w:rPr>
            </w:pPr>
          </w:p>
          <w:p w14:paraId="10D0446C" w14:textId="77777777" w:rsidR="002A704B" w:rsidRDefault="002A704B" w:rsidP="00BF322B">
            <w:pPr>
              <w:tabs>
                <w:tab w:val="left" w:pos="0"/>
              </w:tabs>
              <w:autoSpaceDE w:val="0"/>
              <w:autoSpaceDN w:val="0"/>
              <w:adjustRightInd w:val="0"/>
              <w:spacing w:before="4" w:after="0" w:line="240" w:lineRule="auto"/>
              <w:ind w:right="-20"/>
              <w:rPr>
                <w:rFonts w:ascii="Arial" w:hAnsi="Arial" w:cs="Arial"/>
                <w:b/>
                <w:bCs/>
                <w:spacing w:val="2"/>
                <w:position w:val="-12"/>
              </w:rPr>
            </w:pPr>
          </w:p>
          <w:p w14:paraId="20DDA1A7" w14:textId="77777777" w:rsidR="002A704B" w:rsidRDefault="002A704B" w:rsidP="00BF322B">
            <w:pPr>
              <w:tabs>
                <w:tab w:val="left" w:pos="0"/>
              </w:tabs>
              <w:autoSpaceDE w:val="0"/>
              <w:autoSpaceDN w:val="0"/>
              <w:adjustRightInd w:val="0"/>
              <w:spacing w:before="4" w:after="0" w:line="240" w:lineRule="auto"/>
              <w:ind w:right="-20"/>
              <w:rPr>
                <w:rFonts w:ascii="Arial" w:hAnsi="Arial" w:cs="Arial"/>
                <w:b/>
                <w:bCs/>
                <w:spacing w:val="2"/>
                <w:position w:val="-12"/>
              </w:rPr>
            </w:pPr>
          </w:p>
          <w:p w14:paraId="718F42E8" w14:textId="77777777" w:rsidR="002A704B" w:rsidRDefault="002A704B" w:rsidP="00BF322B">
            <w:pPr>
              <w:tabs>
                <w:tab w:val="left" w:pos="0"/>
              </w:tabs>
              <w:autoSpaceDE w:val="0"/>
              <w:autoSpaceDN w:val="0"/>
              <w:adjustRightInd w:val="0"/>
              <w:spacing w:before="4" w:after="0" w:line="240" w:lineRule="auto"/>
              <w:ind w:right="-20"/>
              <w:rPr>
                <w:rFonts w:ascii="Arial" w:hAnsi="Arial" w:cs="Arial"/>
                <w:b/>
                <w:bCs/>
                <w:spacing w:val="2"/>
                <w:position w:val="-12"/>
              </w:rPr>
            </w:pPr>
          </w:p>
          <w:p w14:paraId="2006A3D0" w14:textId="77777777" w:rsidR="002A704B" w:rsidRPr="001A559D" w:rsidRDefault="002A704B" w:rsidP="00BF322B">
            <w:pPr>
              <w:tabs>
                <w:tab w:val="left" w:pos="0"/>
              </w:tabs>
              <w:autoSpaceDE w:val="0"/>
              <w:autoSpaceDN w:val="0"/>
              <w:adjustRightInd w:val="0"/>
              <w:spacing w:before="4" w:after="0" w:line="240" w:lineRule="auto"/>
              <w:ind w:right="-20"/>
              <w:rPr>
                <w:rFonts w:ascii="Arial" w:hAnsi="Arial" w:cs="Arial"/>
              </w:rPr>
            </w:pPr>
          </w:p>
          <w:p w14:paraId="39C71AD6" w14:textId="77777777" w:rsidR="002A704B" w:rsidRDefault="002A704B" w:rsidP="00BF322B">
            <w:pPr>
              <w:tabs>
                <w:tab w:val="left" w:pos="0"/>
              </w:tabs>
              <w:autoSpaceDE w:val="0"/>
              <w:autoSpaceDN w:val="0"/>
              <w:adjustRightInd w:val="0"/>
              <w:spacing w:after="0" w:line="240" w:lineRule="auto"/>
              <w:ind w:right="-20"/>
              <w:rPr>
                <w:rFonts w:ascii="Arial" w:hAnsi="Arial" w:cs="Arial"/>
                <w:position w:val="1"/>
              </w:rPr>
            </w:pPr>
          </w:p>
          <w:p w14:paraId="265D4708" w14:textId="77777777" w:rsidR="002A704B" w:rsidRDefault="002A704B" w:rsidP="00BF322B">
            <w:pPr>
              <w:tabs>
                <w:tab w:val="left" w:pos="0"/>
              </w:tabs>
              <w:autoSpaceDE w:val="0"/>
              <w:autoSpaceDN w:val="0"/>
              <w:adjustRightInd w:val="0"/>
              <w:spacing w:after="0" w:line="240" w:lineRule="auto"/>
              <w:ind w:right="-20"/>
              <w:rPr>
                <w:rFonts w:ascii="Arial" w:hAnsi="Arial" w:cs="Arial"/>
                <w:position w:val="1"/>
              </w:rPr>
            </w:pPr>
          </w:p>
          <w:p w14:paraId="637AB5BA" w14:textId="77777777" w:rsidR="002A704B" w:rsidRPr="001A559D" w:rsidRDefault="002A704B" w:rsidP="00BF322B">
            <w:pPr>
              <w:tabs>
                <w:tab w:val="left" w:pos="0"/>
              </w:tabs>
              <w:autoSpaceDE w:val="0"/>
              <w:autoSpaceDN w:val="0"/>
              <w:adjustRightInd w:val="0"/>
              <w:spacing w:after="0" w:line="240" w:lineRule="auto"/>
              <w:ind w:right="-20"/>
              <w:rPr>
                <w:rFonts w:ascii="Arial" w:hAnsi="Arial" w:cs="Arial"/>
              </w:rPr>
            </w:pPr>
          </w:p>
        </w:tc>
      </w:tr>
    </w:tbl>
    <w:p w14:paraId="430F93D6" w14:textId="77777777" w:rsidR="00541E69" w:rsidRDefault="00541E69" w:rsidP="002A704B">
      <w:pPr>
        <w:tabs>
          <w:tab w:val="left" w:pos="0"/>
        </w:tabs>
        <w:autoSpaceDE w:val="0"/>
        <w:autoSpaceDN w:val="0"/>
        <w:adjustRightInd w:val="0"/>
        <w:spacing w:before="12" w:after="0" w:line="260" w:lineRule="exact"/>
        <w:rPr>
          <w:rFonts w:ascii="Times New Roman" w:hAnsi="Times New Roman" w:cs="Times New Roman"/>
          <w:sz w:val="26"/>
          <w:szCs w:val="26"/>
        </w:rPr>
      </w:pPr>
    </w:p>
    <w:p w14:paraId="430F940F" w14:textId="77777777" w:rsidR="00F74A19" w:rsidRDefault="00F74A19" w:rsidP="002A704B">
      <w:pPr>
        <w:tabs>
          <w:tab w:val="left" w:pos="0"/>
        </w:tabs>
        <w:rPr>
          <w:rFonts w:ascii="Times New Roman" w:hAnsi="Times New Roman" w:cs="Times New Roman"/>
          <w:sz w:val="26"/>
          <w:szCs w:val="26"/>
        </w:rPr>
      </w:pPr>
    </w:p>
    <w:sectPr w:rsidR="00F74A19" w:rsidSect="002A704B">
      <w:pgSz w:w="12240" w:h="15840"/>
      <w:pgMar w:top="640" w:right="1080" w:bottom="280" w:left="12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154DD" w14:textId="77777777" w:rsidR="003F4B19" w:rsidRDefault="003F4B19" w:rsidP="00235C05">
      <w:pPr>
        <w:spacing w:after="0" w:line="240" w:lineRule="auto"/>
      </w:pPr>
      <w:r>
        <w:separator/>
      </w:r>
    </w:p>
  </w:endnote>
  <w:endnote w:type="continuationSeparator" w:id="0">
    <w:p w14:paraId="106726A8" w14:textId="77777777" w:rsidR="003F4B19" w:rsidRDefault="003F4B19"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EB532" w14:textId="77777777" w:rsidR="003F4B19" w:rsidRDefault="003F4B19" w:rsidP="00235C05">
      <w:pPr>
        <w:spacing w:after="0" w:line="240" w:lineRule="auto"/>
      </w:pPr>
      <w:r>
        <w:separator/>
      </w:r>
    </w:p>
  </w:footnote>
  <w:footnote w:type="continuationSeparator" w:id="0">
    <w:p w14:paraId="0327548A" w14:textId="77777777" w:rsidR="003F4B19" w:rsidRDefault="003F4B19"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F9414" w14:textId="77777777" w:rsidR="002047E5" w:rsidRDefault="002047E5" w:rsidP="006A2310">
    <w:pPr>
      <w:pStyle w:val="Header"/>
    </w:pPr>
  </w:p>
  <w:tbl>
    <w:tblPr>
      <w:tblW w:w="5000" w:type="pct"/>
      <w:tblInd w:w="15" w:type="dxa"/>
      <w:tblLayout w:type="fixed"/>
      <w:tblCellMar>
        <w:left w:w="0" w:type="dxa"/>
        <w:right w:w="0" w:type="dxa"/>
      </w:tblCellMar>
      <w:tblLook w:val="0020" w:firstRow="1" w:lastRow="0" w:firstColumn="0" w:lastColumn="0" w:noHBand="0" w:noVBand="0"/>
    </w:tblPr>
    <w:tblGrid>
      <w:gridCol w:w="2592"/>
      <w:gridCol w:w="2989"/>
      <w:gridCol w:w="1592"/>
      <w:gridCol w:w="2427"/>
    </w:tblGrid>
    <w:tr w:rsidR="002047E5" w:rsidRPr="00F93A82" w14:paraId="430F9417" w14:textId="77777777" w:rsidTr="0069273C">
      <w:trPr>
        <w:cantSplit/>
        <w:trHeight w:hRule="exact" w:val="427"/>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430F9415" w14:textId="3F94EA2D" w:rsidR="002047E5" w:rsidRPr="0024352A" w:rsidRDefault="00C83CE2" w:rsidP="00C83CE2">
          <w:pPr>
            <w:autoSpaceDE w:val="0"/>
            <w:autoSpaceDN w:val="0"/>
            <w:adjustRightInd w:val="0"/>
            <w:spacing w:before="4" w:after="0" w:line="240" w:lineRule="auto"/>
            <w:ind w:right="-20"/>
            <w:rPr>
              <w:rFonts w:ascii="Arial" w:hAnsi="Arial" w:cs="Arial"/>
              <w:b/>
              <w:bCs/>
              <w:sz w:val="24"/>
              <w:szCs w:val="24"/>
            </w:rPr>
          </w:pPr>
          <w:r>
            <w:rPr>
              <w:rFonts w:ascii="Arial" w:hAnsi="Arial" w:cs="Arial"/>
              <w:b/>
              <w:bCs/>
              <w:sz w:val="24"/>
              <w:szCs w:val="24"/>
            </w:rPr>
            <w:t xml:space="preserve">  </w:t>
          </w:r>
          <w:r w:rsidR="002047E5" w:rsidRPr="0024352A">
            <w:rPr>
              <w:rFonts w:ascii="Arial" w:hAnsi="Arial" w:cs="Arial"/>
              <w:b/>
              <w:bCs/>
              <w:sz w:val="24"/>
              <w:szCs w:val="24"/>
            </w:rPr>
            <w:t>Stan</w:t>
          </w:r>
          <w:r w:rsidR="002047E5">
            <w:rPr>
              <w:rFonts w:ascii="Arial" w:hAnsi="Arial" w:cs="Arial"/>
              <w:b/>
              <w:bCs/>
              <w:sz w:val="24"/>
              <w:szCs w:val="24"/>
            </w:rPr>
            <w:t>dard Operating Procedures for  Clinical Research</w:t>
          </w:r>
          <w:r w:rsidR="002047E5" w:rsidRPr="0024352A">
            <w:rPr>
              <w:rFonts w:ascii="Arial" w:hAnsi="Arial" w:cs="Arial"/>
              <w:b/>
              <w:bCs/>
              <w:sz w:val="24"/>
              <w:szCs w:val="24"/>
            </w:rPr>
            <w:t xml:space="preserve"> at USF </w:t>
          </w:r>
          <w:r w:rsidR="002047E5">
            <w:rPr>
              <w:rFonts w:ascii="Arial" w:hAnsi="Arial" w:cs="Arial"/>
              <w:b/>
              <w:bCs/>
              <w:sz w:val="24"/>
              <w:szCs w:val="24"/>
            </w:rPr>
            <w:t xml:space="preserve">Health </w:t>
          </w:r>
          <w:r w:rsidR="002047E5" w:rsidRPr="0024352A">
            <w:rPr>
              <w:rFonts w:ascii="Arial" w:hAnsi="Arial" w:cs="Arial"/>
              <w:b/>
              <w:bCs/>
              <w:sz w:val="24"/>
              <w:szCs w:val="24"/>
            </w:rPr>
            <w:t>Mo</w:t>
          </w:r>
          <w:r w:rsidR="002047E5">
            <w:rPr>
              <w:rFonts w:ascii="Arial" w:hAnsi="Arial" w:cs="Arial"/>
              <w:b/>
              <w:bCs/>
              <w:sz w:val="24"/>
              <w:szCs w:val="24"/>
            </w:rPr>
            <w:t>rsani CRC</w:t>
          </w:r>
        </w:p>
        <w:p w14:paraId="430F9416" w14:textId="77777777" w:rsidR="002047E5" w:rsidRDefault="002047E5" w:rsidP="0016105D">
          <w:pPr>
            <w:autoSpaceDE w:val="0"/>
            <w:autoSpaceDN w:val="0"/>
            <w:adjustRightInd w:val="0"/>
            <w:spacing w:before="4" w:after="0" w:line="240" w:lineRule="auto"/>
            <w:ind w:right="-20"/>
            <w:jc w:val="center"/>
            <w:rPr>
              <w:rFonts w:ascii="Arial" w:hAnsi="Arial" w:cs="Arial"/>
              <w:b/>
              <w:bCs/>
            </w:rPr>
          </w:pPr>
        </w:p>
      </w:tc>
    </w:tr>
    <w:tr w:rsidR="002047E5" w:rsidRPr="00F93A82" w14:paraId="430F941A" w14:textId="77777777" w:rsidTr="00C83CE2">
      <w:trPr>
        <w:cantSplit/>
        <w:trHeight w:hRule="exact" w:val="948"/>
        <w:tblHeader/>
      </w:trPr>
      <w:tc>
        <w:tcPr>
          <w:tcW w:w="1350" w:type="pct"/>
          <w:tcBorders>
            <w:top w:val="single" w:sz="12" w:space="0" w:color="000000"/>
            <w:left w:val="single" w:sz="12" w:space="0" w:color="000000"/>
            <w:bottom w:val="single" w:sz="12" w:space="0" w:color="000000"/>
            <w:right w:val="single" w:sz="12" w:space="0" w:color="000000"/>
          </w:tcBorders>
        </w:tcPr>
        <w:p w14:paraId="430F9418" w14:textId="77777777" w:rsidR="002047E5" w:rsidRPr="00F93A82" w:rsidRDefault="002047E5" w:rsidP="0016105D">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0F9425" wp14:editId="430F9426">
                <wp:extent cx="942975" cy="707232"/>
                <wp:effectExtent l="0" t="0" r="0" b="0"/>
                <wp:docPr id="1" name="Picture 1" descr="C:\Users\mcrawfor\Desktop\USF Branding\USF_Health_CMYK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awfor\Desktop\USF Branding\USF_Health_CMYK_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1959" t="27090" r="30928" b="29883"/>
                        <a:stretch/>
                      </pic:blipFill>
                      <pic:spPr bwMode="auto">
                        <a:xfrm>
                          <a:off x="0" y="0"/>
                          <a:ext cx="962124" cy="7215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50" w:type="pct"/>
          <w:gridSpan w:val="3"/>
          <w:tcBorders>
            <w:top w:val="single" w:sz="12" w:space="0" w:color="000000"/>
            <w:left w:val="single" w:sz="12" w:space="0" w:color="000000"/>
            <w:bottom w:val="single" w:sz="12" w:space="0" w:color="000000"/>
            <w:right w:val="single" w:sz="12" w:space="0" w:color="000000"/>
          </w:tcBorders>
          <w:vAlign w:val="center"/>
        </w:tcPr>
        <w:p w14:paraId="278DB870" w14:textId="77777777" w:rsidR="002047E5" w:rsidRDefault="002047E5" w:rsidP="0016105D">
          <w:pPr>
            <w:autoSpaceDE w:val="0"/>
            <w:autoSpaceDN w:val="0"/>
            <w:adjustRightInd w:val="0"/>
            <w:spacing w:after="0" w:line="240" w:lineRule="auto"/>
            <w:ind w:right="-20"/>
            <w:jc w:val="center"/>
            <w:rPr>
              <w:rFonts w:ascii="Arial" w:hAnsi="Arial" w:cs="Arial"/>
              <w:b/>
              <w:sz w:val="24"/>
              <w:szCs w:val="24"/>
            </w:rPr>
          </w:pPr>
        </w:p>
        <w:p w14:paraId="430F9419" w14:textId="77777777" w:rsidR="002047E5" w:rsidRPr="00073385" w:rsidRDefault="002047E5" w:rsidP="0016105D">
          <w:pPr>
            <w:autoSpaceDE w:val="0"/>
            <w:autoSpaceDN w:val="0"/>
            <w:adjustRightInd w:val="0"/>
            <w:spacing w:after="0" w:line="240" w:lineRule="auto"/>
            <w:ind w:right="-20"/>
            <w:jc w:val="center"/>
            <w:rPr>
              <w:rFonts w:ascii="Arial" w:hAnsi="Arial" w:cs="Arial"/>
              <w:sz w:val="28"/>
              <w:szCs w:val="28"/>
            </w:rPr>
          </w:pPr>
          <w:r w:rsidRPr="00BF322B">
            <w:rPr>
              <w:rFonts w:ascii="Arial" w:hAnsi="Arial" w:cs="Arial"/>
              <w:b/>
              <w:sz w:val="28"/>
              <w:szCs w:val="28"/>
            </w:rPr>
            <w:t>ADVERSE EVENT REPORTING</w:t>
          </w:r>
        </w:p>
      </w:tc>
    </w:tr>
    <w:tr w:rsidR="002047E5" w:rsidRPr="00F93A82" w14:paraId="430F9423" w14:textId="77777777" w:rsidTr="00C83CE2">
      <w:trPr>
        <w:cantSplit/>
        <w:trHeight w:hRule="exact" w:val="732"/>
        <w:tblHeader/>
      </w:trPr>
      <w:tc>
        <w:tcPr>
          <w:tcW w:w="1350" w:type="pct"/>
          <w:tcBorders>
            <w:top w:val="single" w:sz="12" w:space="0" w:color="000000"/>
            <w:left w:val="single" w:sz="12" w:space="0" w:color="000000"/>
            <w:bottom w:val="single" w:sz="12" w:space="0" w:color="000000"/>
            <w:right w:val="single" w:sz="12" w:space="0" w:color="000000"/>
          </w:tcBorders>
          <w:vAlign w:val="bottom"/>
        </w:tcPr>
        <w:p w14:paraId="430F941F" w14:textId="71AA1E77" w:rsidR="002047E5" w:rsidRPr="00C83CE2" w:rsidRDefault="00C83CE2" w:rsidP="00C83CE2">
          <w:pPr>
            <w:autoSpaceDE w:val="0"/>
            <w:autoSpaceDN w:val="0"/>
            <w:adjustRightInd w:val="0"/>
            <w:spacing w:before="8" w:after="0" w:line="240" w:lineRule="auto"/>
            <w:ind w:right="-20"/>
            <w:rPr>
              <w:rFonts w:ascii="Arial" w:hAnsi="Arial" w:cs="Arial"/>
              <w:b/>
            </w:rPr>
          </w:pPr>
          <w:r>
            <w:rPr>
              <w:rFonts w:ascii="Arial" w:hAnsi="Arial" w:cs="Arial"/>
              <w:b/>
            </w:rPr>
            <w:t xml:space="preserve">         </w:t>
          </w:r>
          <w:r w:rsidRPr="00C83CE2">
            <w:rPr>
              <w:rFonts w:ascii="Arial" w:hAnsi="Arial" w:cs="Arial"/>
              <w:b/>
            </w:rPr>
            <w:t>SOP#:  204</w:t>
          </w:r>
        </w:p>
      </w:tc>
      <w:tc>
        <w:tcPr>
          <w:tcW w:w="1557" w:type="pct"/>
          <w:tcBorders>
            <w:top w:val="single" w:sz="12" w:space="0" w:color="000000"/>
            <w:left w:val="single" w:sz="12" w:space="0" w:color="000000"/>
            <w:bottom w:val="single" w:sz="12" w:space="0" w:color="000000"/>
            <w:right w:val="single" w:sz="12" w:space="0" w:color="000000"/>
          </w:tcBorders>
          <w:vAlign w:val="bottom"/>
        </w:tcPr>
        <w:p w14:paraId="1AF3699E" w14:textId="265FBCDC" w:rsidR="002047E5" w:rsidRDefault="00C83CE2" w:rsidP="00C83CE2">
          <w:pPr>
            <w:autoSpaceDE w:val="0"/>
            <w:autoSpaceDN w:val="0"/>
            <w:adjustRightInd w:val="0"/>
            <w:spacing w:before="18" w:after="0" w:line="240" w:lineRule="auto"/>
            <w:ind w:right="-20"/>
            <w:rPr>
              <w:rFonts w:ascii="Arial" w:hAnsi="Arial" w:cs="Arial"/>
              <w:b/>
              <w:bCs/>
            </w:rPr>
          </w:pPr>
          <w:r>
            <w:rPr>
              <w:rFonts w:ascii="Arial" w:hAnsi="Arial" w:cs="Arial"/>
              <w:b/>
              <w:bCs/>
              <w:spacing w:val="2"/>
            </w:rPr>
            <w:t xml:space="preserve">   </w:t>
          </w:r>
          <w:r w:rsidR="002047E5">
            <w:rPr>
              <w:rFonts w:ascii="Arial" w:hAnsi="Arial" w:cs="Arial"/>
              <w:b/>
              <w:bCs/>
              <w:spacing w:val="2"/>
            </w:rPr>
            <w:t>Effective Date</w:t>
          </w:r>
          <w:r>
            <w:rPr>
              <w:rFonts w:ascii="Arial" w:hAnsi="Arial" w:cs="Arial"/>
              <w:b/>
              <w:bCs/>
            </w:rPr>
            <w:t>: 01/01/2015</w:t>
          </w:r>
        </w:p>
        <w:p w14:paraId="430F9420" w14:textId="2EDEE975" w:rsidR="00C83CE2" w:rsidRPr="001A559D" w:rsidRDefault="00C83CE2" w:rsidP="00C83CE2">
          <w:pPr>
            <w:autoSpaceDE w:val="0"/>
            <w:autoSpaceDN w:val="0"/>
            <w:adjustRightInd w:val="0"/>
            <w:spacing w:before="18" w:after="0" w:line="240" w:lineRule="auto"/>
            <w:ind w:right="-20"/>
            <w:rPr>
              <w:rFonts w:ascii="Arial" w:hAnsi="Arial" w:cs="Arial"/>
            </w:rPr>
          </w:pPr>
          <w:r>
            <w:rPr>
              <w:rFonts w:ascii="Arial" w:hAnsi="Arial" w:cs="Arial"/>
              <w:b/>
              <w:bCs/>
            </w:rPr>
            <w:t xml:space="preserve">   Revision date: </w:t>
          </w:r>
        </w:p>
      </w:tc>
      <w:tc>
        <w:tcPr>
          <w:tcW w:w="829" w:type="pct"/>
          <w:tcBorders>
            <w:top w:val="single" w:sz="12" w:space="0" w:color="000000"/>
            <w:left w:val="single" w:sz="12" w:space="0" w:color="000000"/>
            <w:bottom w:val="single" w:sz="12" w:space="0" w:color="000000"/>
            <w:right w:val="single" w:sz="12" w:space="0" w:color="000000"/>
          </w:tcBorders>
          <w:vAlign w:val="bottom"/>
        </w:tcPr>
        <w:p w14:paraId="430F9421" w14:textId="77777777" w:rsidR="002047E5" w:rsidRPr="001A559D" w:rsidRDefault="002047E5" w:rsidP="0016105D">
          <w:pPr>
            <w:autoSpaceDE w:val="0"/>
            <w:autoSpaceDN w:val="0"/>
            <w:adjustRightInd w:val="0"/>
            <w:spacing w:before="18" w:after="0" w:line="240" w:lineRule="auto"/>
            <w:ind w:right="-20"/>
            <w:jc w:val="center"/>
            <w:rPr>
              <w:rFonts w:ascii="Arial" w:hAnsi="Arial" w:cs="Arial"/>
            </w:rPr>
          </w:pPr>
          <w:r w:rsidRPr="001A559D">
            <w:rPr>
              <w:rFonts w:ascii="Arial" w:hAnsi="Arial" w:cs="Arial"/>
              <w:b/>
              <w:bCs/>
              <w:spacing w:val="2"/>
            </w:rPr>
            <w:t>V</w:t>
          </w:r>
          <w:r w:rsidRPr="001A559D">
            <w:rPr>
              <w:rFonts w:ascii="Arial" w:hAnsi="Arial" w:cs="Arial"/>
              <w:b/>
              <w:bCs/>
              <w:spacing w:val="1"/>
            </w:rPr>
            <w:t>ersio</w:t>
          </w:r>
          <w:r w:rsidRPr="001A559D">
            <w:rPr>
              <w:rFonts w:ascii="Arial" w:hAnsi="Arial" w:cs="Arial"/>
              <w:b/>
              <w:bCs/>
            </w:rPr>
            <w:t>n</w:t>
          </w:r>
          <w:r w:rsidRPr="001A559D">
            <w:rPr>
              <w:rFonts w:ascii="Arial" w:hAnsi="Arial" w:cs="Arial"/>
              <w:b/>
              <w:spacing w:val="1"/>
            </w:rPr>
            <w:t>#</w:t>
          </w:r>
          <w:r>
            <w:rPr>
              <w:rFonts w:ascii="Arial" w:hAnsi="Arial" w:cs="Arial"/>
              <w:b/>
              <w:spacing w:val="1"/>
            </w:rPr>
            <w:t>:</w:t>
          </w:r>
          <w:r w:rsidRPr="001A559D">
            <w:rPr>
              <w:rFonts w:ascii="Arial" w:hAnsi="Arial" w:cs="Arial"/>
              <w:b/>
              <w:w w:val="104"/>
            </w:rPr>
            <w:t>1</w:t>
          </w:r>
          <w:r>
            <w:rPr>
              <w:rFonts w:ascii="Arial" w:hAnsi="Arial" w:cs="Arial"/>
              <w:b/>
              <w:w w:val="104"/>
            </w:rPr>
            <w:t>.0</w:t>
          </w:r>
        </w:p>
      </w:tc>
      <w:tc>
        <w:tcPr>
          <w:tcW w:w="1264" w:type="pct"/>
          <w:tcBorders>
            <w:top w:val="single" w:sz="12" w:space="0" w:color="000000"/>
            <w:left w:val="single" w:sz="12" w:space="0" w:color="000000"/>
            <w:bottom w:val="single" w:sz="12" w:space="0" w:color="000000"/>
            <w:right w:val="single" w:sz="12" w:space="0" w:color="000000"/>
          </w:tcBorders>
          <w:vAlign w:val="bottom"/>
        </w:tcPr>
        <w:p w14:paraId="430F9422" w14:textId="77777777" w:rsidR="002047E5" w:rsidRPr="001A559D" w:rsidRDefault="002047E5" w:rsidP="0016105D">
          <w:pPr>
            <w:autoSpaceDE w:val="0"/>
            <w:autoSpaceDN w:val="0"/>
            <w:adjustRightInd w:val="0"/>
            <w:spacing w:before="18" w:after="0" w:line="240" w:lineRule="auto"/>
            <w:ind w:right="-20"/>
            <w:jc w:val="center"/>
            <w:rPr>
              <w:rFonts w:ascii="Arial" w:hAnsi="Arial" w:cs="Arial"/>
            </w:rPr>
          </w:pPr>
          <w:r>
            <w:rPr>
              <w:rFonts w:ascii="Arial" w:hAnsi="Arial" w:cs="Arial"/>
              <w:b/>
              <w:bCs/>
              <w:spacing w:val="2"/>
            </w:rPr>
            <w:t>Page:</w:t>
          </w:r>
          <w:r>
            <w:rPr>
              <w:rFonts w:ascii="Arial" w:hAnsi="Arial" w:cs="Arial"/>
              <w:b/>
              <w:bCs/>
              <w:spacing w:val="28"/>
            </w:rPr>
            <w:t xml:space="preserve"> </w:t>
          </w:r>
          <w:r w:rsidRPr="00713EC6">
            <w:rPr>
              <w:rFonts w:ascii="Arial" w:hAnsi="Arial" w:cs="Arial"/>
              <w:b/>
              <w:bCs/>
              <w:spacing w:val="28"/>
            </w:rPr>
            <w:t xml:space="preserve">Page </w:t>
          </w:r>
          <w:r w:rsidRPr="00713EC6">
            <w:rPr>
              <w:rFonts w:ascii="Arial" w:hAnsi="Arial" w:cs="Arial"/>
              <w:b/>
              <w:bCs/>
              <w:spacing w:val="28"/>
            </w:rPr>
            <w:fldChar w:fldCharType="begin"/>
          </w:r>
          <w:r w:rsidRPr="00713EC6">
            <w:rPr>
              <w:rFonts w:ascii="Arial" w:hAnsi="Arial" w:cs="Arial"/>
              <w:b/>
              <w:bCs/>
              <w:spacing w:val="28"/>
            </w:rPr>
            <w:instrText xml:space="preserve"> PAGE  \* Arabic  \* MERGEFORMAT </w:instrText>
          </w:r>
          <w:r w:rsidRPr="00713EC6">
            <w:rPr>
              <w:rFonts w:ascii="Arial" w:hAnsi="Arial" w:cs="Arial"/>
              <w:b/>
              <w:bCs/>
              <w:spacing w:val="28"/>
            </w:rPr>
            <w:fldChar w:fldCharType="separate"/>
          </w:r>
          <w:r w:rsidR="001812D9">
            <w:rPr>
              <w:rFonts w:ascii="Arial" w:hAnsi="Arial" w:cs="Arial"/>
              <w:b/>
              <w:bCs/>
              <w:noProof/>
              <w:spacing w:val="28"/>
            </w:rPr>
            <w:t>1</w:t>
          </w:r>
          <w:r w:rsidRPr="00713EC6">
            <w:rPr>
              <w:rFonts w:ascii="Arial" w:hAnsi="Arial" w:cs="Arial"/>
              <w:b/>
              <w:bCs/>
              <w:spacing w:val="28"/>
            </w:rPr>
            <w:fldChar w:fldCharType="end"/>
          </w:r>
          <w:r w:rsidRPr="00713EC6">
            <w:rPr>
              <w:rFonts w:ascii="Arial" w:hAnsi="Arial" w:cs="Arial"/>
              <w:b/>
              <w:bCs/>
              <w:spacing w:val="28"/>
            </w:rPr>
            <w:t xml:space="preserve"> of </w:t>
          </w:r>
          <w:r w:rsidRPr="00713EC6">
            <w:rPr>
              <w:rFonts w:ascii="Arial" w:hAnsi="Arial" w:cs="Arial"/>
              <w:b/>
              <w:bCs/>
              <w:spacing w:val="28"/>
            </w:rPr>
            <w:fldChar w:fldCharType="begin"/>
          </w:r>
          <w:r w:rsidRPr="00713EC6">
            <w:rPr>
              <w:rFonts w:ascii="Arial" w:hAnsi="Arial" w:cs="Arial"/>
              <w:b/>
              <w:bCs/>
              <w:spacing w:val="28"/>
            </w:rPr>
            <w:instrText xml:space="preserve"> NUMPAGES  \* Arabic  \* MERGEFORMAT </w:instrText>
          </w:r>
          <w:r w:rsidRPr="00713EC6">
            <w:rPr>
              <w:rFonts w:ascii="Arial" w:hAnsi="Arial" w:cs="Arial"/>
              <w:b/>
              <w:bCs/>
              <w:spacing w:val="28"/>
            </w:rPr>
            <w:fldChar w:fldCharType="separate"/>
          </w:r>
          <w:r w:rsidR="001812D9">
            <w:rPr>
              <w:rFonts w:ascii="Arial" w:hAnsi="Arial" w:cs="Arial"/>
              <w:b/>
              <w:bCs/>
              <w:noProof/>
              <w:spacing w:val="28"/>
            </w:rPr>
            <w:t>6</w:t>
          </w:r>
          <w:r w:rsidRPr="00713EC6">
            <w:rPr>
              <w:rFonts w:ascii="Arial" w:hAnsi="Arial" w:cs="Arial"/>
              <w:b/>
              <w:bCs/>
              <w:spacing w:val="28"/>
            </w:rPr>
            <w:fldChar w:fldCharType="end"/>
          </w:r>
        </w:p>
      </w:tc>
    </w:tr>
  </w:tbl>
  <w:p w14:paraId="430F9424" w14:textId="77777777" w:rsidR="002047E5" w:rsidRDefault="002047E5" w:rsidP="001C2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511C"/>
    <w:multiLevelType w:val="hybridMultilevel"/>
    <w:tmpl w:val="C1FEDEFC"/>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4428C"/>
    <w:multiLevelType w:val="multilevel"/>
    <w:tmpl w:val="7632D5C2"/>
    <w:lvl w:ilvl="0">
      <w:start w:val="1"/>
      <w:numFmt w:val="bullet"/>
      <w:lvlText w:val=""/>
      <w:lvlJc w:val="left"/>
      <w:pPr>
        <w:tabs>
          <w:tab w:val="num" w:pos="1350"/>
        </w:tabs>
        <w:ind w:left="1350" w:hanging="360"/>
      </w:pPr>
      <w:rPr>
        <w:rFonts w:ascii="Wingdings" w:hAnsi="Wingdings" w:hint="default"/>
        <w:color w:val="auto"/>
        <w:sz w:val="28"/>
      </w:rPr>
    </w:lvl>
    <w:lvl w:ilvl="1">
      <w:start w:val="1"/>
      <w:numFmt w:val="bullet"/>
      <w:lvlText w:val=""/>
      <w:lvlJc w:val="left"/>
      <w:pPr>
        <w:ind w:left="2070" w:hanging="360"/>
      </w:pPr>
      <w:rPr>
        <w:rFonts w:ascii="Symbol" w:hAnsi="Symbol" w:hint="default"/>
      </w:rPr>
    </w:lvl>
    <w:lvl w:ilvl="2">
      <w:start w:val="2"/>
      <w:numFmt w:val="upperLetter"/>
      <w:lvlText w:val="%3."/>
      <w:lvlJc w:val="left"/>
      <w:pPr>
        <w:ind w:left="2790" w:hanging="360"/>
      </w:pPr>
      <w:rPr>
        <w:rFonts w:hint="default"/>
      </w:r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2">
    <w:nsid w:val="152F5368"/>
    <w:multiLevelType w:val="multilevel"/>
    <w:tmpl w:val="7632D5C2"/>
    <w:lvl w:ilvl="0">
      <w:start w:val="1"/>
      <w:numFmt w:val="bullet"/>
      <w:lvlText w:val=""/>
      <w:lvlJc w:val="left"/>
      <w:pPr>
        <w:tabs>
          <w:tab w:val="num" w:pos="1350"/>
        </w:tabs>
        <w:ind w:left="1350" w:hanging="360"/>
      </w:pPr>
      <w:rPr>
        <w:rFonts w:ascii="Wingdings" w:hAnsi="Wingdings" w:hint="default"/>
        <w:color w:val="auto"/>
        <w:sz w:val="28"/>
      </w:rPr>
    </w:lvl>
    <w:lvl w:ilvl="1">
      <w:start w:val="1"/>
      <w:numFmt w:val="bullet"/>
      <w:lvlText w:val=""/>
      <w:lvlJc w:val="left"/>
      <w:pPr>
        <w:ind w:left="2070" w:hanging="360"/>
      </w:pPr>
      <w:rPr>
        <w:rFonts w:ascii="Symbol" w:hAnsi="Symbol" w:hint="default"/>
      </w:rPr>
    </w:lvl>
    <w:lvl w:ilvl="2">
      <w:start w:val="2"/>
      <w:numFmt w:val="upperLetter"/>
      <w:lvlText w:val="%3."/>
      <w:lvlJc w:val="left"/>
      <w:pPr>
        <w:ind w:left="2790" w:hanging="360"/>
      </w:pPr>
      <w:rPr>
        <w:rFonts w:hint="default"/>
      </w:r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3">
    <w:nsid w:val="22D03482"/>
    <w:multiLevelType w:val="multilevel"/>
    <w:tmpl w:val="8B0CD202"/>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37325"/>
    <w:multiLevelType w:val="hybridMultilevel"/>
    <w:tmpl w:val="51D02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BC1130"/>
    <w:multiLevelType w:val="multilevel"/>
    <w:tmpl w:val="7632D5C2"/>
    <w:lvl w:ilvl="0">
      <w:start w:val="1"/>
      <w:numFmt w:val="bullet"/>
      <w:lvlText w:val=""/>
      <w:lvlJc w:val="left"/>
      <w:pPr>
        <w:tabs>
          <w:tab w:val="num" w:pos="1350"/>
        </w:tabs>
        <w:ind w:left="1350" w:hanging="360"/>
      </w:pPr>
      <w:rPr>
        <w:rFonts w:ascii="Wingdings" w:hAnsi="Wingdings" w:hint="default"/>
        <w:color w:val="auto"/>
        <w:sz w:val="28"/>
      </w:rPr>
    </w:lvl>
    <w:lvl w:ilvl="1">
      <w:start w:val="1"/>
      <w:numFmt w:val="bullet"/>
      <w:lvlText w:val=""/>
      <w:lvlJc w:val="left"/>
      <w:pPr>
        <w:ind w:left="2070" w:hanging="360"/>
      </w:pPr>
      <w:rPr>
        <w:rFonts w:ascii="Symbol" w:hAnsi="Symbol" w:hint="default"/>
      </w:rPr>
    </w:lvl>
    <w:lvl w:ilvl="2">
      <w:start w:val="2"/>
      <w:numFmt w:val="upperLetter"/>
      <w:lvlText w:val="%3."/>
      <w:lvlJc w:val="left"/>
      <w:pPr>
        <w:ind w:left="2790" w:hanging="360"/>
      </w:pPr>
      <w:rPr>
        <w:rFonts w:hint="default"/>
      </w:r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6">
    <w:nsid w:val="3452684E"/>
    <w:multiLevelType w:val="hybridMultilevel"/>
    <w:tmpl w:val="DF5699C2"/>
    <w:lvl w:ilvl="0" w:tplc="3004946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706DA"/>
    <w:multiLevelType w:val="hybridMultilevel"/>
    <w:tmpl w:val="3DF8D0A6"/>
    <w:lvl w:ilvl="0" w:tplc="A23428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63275AD"/>
    <w:multiLevelType w:val="hybridMultilevel"/>
    <w:tmpl w:val="AD4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A0B1F"/>
    <w:multiLevelType w:val="multilevel"/>
    <w:tmpl w:val="293A16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BE5F41"/>
    <w:multiLevelType w:val="multilevel"/>
    <w:tmpl w:val="8B0CD202"/>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C95691"/>
    <w:multiLevelType w:val="multilevel"/>
    <w:tmpl w:val="7632D5C2"/>
    <w:lvl w:ilvl="0">
      <w:start w:val="1"/>
      <w:numFmt w:val="bullet"/>
      <w:lvlText w:val=""/>
      <w:lvlJc w:val="left"/>
      <w:pPr>
        <w:tabs>
          <w:tab w:val="num" w:pos="1350"/>
        </w:tabs>
        <w:ind w:left="1350" w:hanging="360"/>
      </w:pPr>
      <w:rPr>
        <w:rFonts w:ascii="Wingdings" w:hAnsi="Wingdings" w:hint="default"/>
        <w:color w:val="auto"/>
        <w:sz w:val="28"/>
      </w:rPr>
    </w:lvl>
    <w:lvl w:ilvl="1">
      <w:start w:val="1"/>
      <w:numFmt w:val="bullet"/>
      <w:lvlText w:val=""/>
      <w:lvlJc w:val="left"/>
      <w:pPr>
        <w:ind w:left="2070" w:hanging="360"/>
      </w:pPr>
      <w:rPr>
        <w:rFonts w:ascii="Symbol" w:hAnsi="Symbol" w:hint="default"/>
      </w:rPr>
    </w:lvl>
    <w:lvl w:ilvl="2">
      <w:start w:val="2"/>
      <w:numFmt w:val="upperLetter"/>
      <w:lvlText w:val="%3."/>
      <w:lvlJc w:val="left"/>
      <w:pPr>
        <w:ind w:left="2790" w:hanging="360"/>
      </w:pPr>
      <w:rPr>
        <w:rFonts w:hint="default"/>
      </w:r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2">
    <w:nsid w:val="6B934546"/>
    <w:multiLevelType w:val="multilevel"/>
    <w:tmpl w:val="E3F0EE1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D30D63"/>
    <w:multiLevelType w:val="hybridMultilevel"/>
    <w:tmpl w:val="601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52281E"/>
    <w:multiLevelType w:val="multilevel"/>
    <w:tmpl w:val="8B0CD20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9"/>
  </w:num>
  <w:num w:numId="4">
    <w:abstractNumId w:val="4"/>
  </w:num>
  <w:num w:numId="5">
    <w:abstractNumId w:val="6"/>
  </w:num>
  <w:num w:numId="6">
    <w:abstractNumId w:val="3"/>
  </w:num>
  <w:num w:numId="7">
    <w:abstractNumId w:val="5"/>
  </w:num>
  <w:num w:numId="8">
    <w:abstractNumId w:val="13"/>
  </w:num>
  <w:num w:numId="9">
    <w:abstractNumId w:val="1"/>
  </w:num>
  <w:num w:numId="10">
    <w:abstractNumId w:val="7"/>
  </w:num>
  <w:num w:numId="11">
    <w:abstractNumId w:val="0"/>
  </w:num>
  <w:num w:numId="12">
    <w:abstractNumId w:val="14"/>
  </w:num>
  <w:num w:numId="13">
    <w:abstractNumId w:val="11"/>
  </w:num>
  <w:num w:numId="14">
    <w:abstractNumId w:val="2"/>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1148C"/>
    <w:rsid w:val="0002149C"/>
    <w:rsid w:val="00023DA7"/>
    <w:rsid w:val="00036FC5"/>
    <w:rsid w:val="00044961"/>
    <w:rsid w:val="00055199"/>
    <w:rsid w:val="00056156"/>
    <w:rsid w:val="00070C16"/>
    <w:rsid w:val="000726B0"/>
    <w:rsid w:val="000731EA"/>
    <w:rsid w:val="00073385"/>
    <w:rsid w:val="00085DF3"/>
    <w:rsid w:val="00095F81"/>
    <w:rsid w:val="000A4391"/>
    <w:rsid w:val="000A4E82"/>
    <w:rsid w:val="000B52B4"/>
    <w:rsid w:val="000B5D67"/>
    <w:rsid w:val="000C6F5D"/>
    <w:rsid w:val="000D44E8"/>
    <w:rsid w:val="000E0857"/>
    <w:rsid w:val="000E270B"/>
    <w:rsid w:val="000E2C26"/>
    <w:rsid w:val="000E58A4"/>
    <w:rsid w:val="000F17C7"/>
    <w:rsid w:val="00122ACC"/>
    <w:rsid w:val="001236DC"/>
    <w:rsid w:val="0014093E"/>
    <w:rsid w:val="001520D8"/>
    <w:rsid w:val="00153AED"/>
    <w:rsid w:val="0016105D"/>
    <w:rsid w:val="00167904"/>
    <w:rsid w:val="001720CE"/>
    <w:rsid w:val="001733FC"/>
    <w:rsid w:val="00177F5E"/>
    <w:rsid w:val="001812D9"/>
    <w:rsid w:val="00183873"/>
    <w:rsid w:val="00185A8B"/>
    <w:rsid w:val="001932C3"/>
    <w:rsid w:val="00194EA8"/>
    <w:rsid w:val="001950B2"/>
    <w:rsid w:val="001A559D"/>
    <w:rsid w:val="001A7F44"/>
    <w:rsid w:val="001B0AFE"/>
    <w:rsid w:val="001C2B3E"/>
    <w:rsid w:val="001C3FD7"/>
    <w:rsid w:val="001C5268"/>
    <w:rsid w:val="001C6649"/>
    <w:rsid w:val="001C7FA0"/>
    <w:rsid w:val="001D5E87"/>
    <w:rsid w:val="001E2B36"/>
    <w:rsid w:val="001E325C"/>
    <w:rsid w:val="001E5FC3"/>
    <w:rsid w:val="001F007B"/>
    <w:rsid w:val="001F04A6"/>
    <w:rsid w:val="001F7006"/>
    <w:rsid w:val="002047E5"/>
    <w:rsid w:val="00204BF3"/>
    <w:rsid w:val="0021392B"/>
    <w:rsid w:val="00223926"/>
    <w:rsid w:val="00226965"/>
    <w:rsid w:val="00235C05"/>
    <w:rsid w:val="00237202"/>
    <w:rsid w:val="0024352A"/>
    <w:rsid w:val="00263ABF"/>
    <w:rsid w:val="00263F75"/>
    <w:rsid w:val="00266AE4"/>
    <w:rsid w:val="002760AF"/>
    <w:rsid w:val="00283AEF"/>
    <w:rsid w:val="00286E99"/>
    <w:rsid w:val="00287B94"/>
    <w:rsid w:val="00293B62"/>
    <w:rsid w:val="00296EC3"/>
    <w:rsid w:val="002A1E18"/>
    <w:rsid w:val="002A49E6"/>
    <w:rsid w:val="002A6CC8"/>
    <w:rsid w:val="002A704B"/>
    <w:rsid w:val="002B1ED4"/>
    <w:rsid w:val="002C6C9F"/>
    <w:rsid w:val="002C7F10"/>
    <w:rsid w:val="002D6816"/>
    <w:rsid w:val="002F22EC"/>
    <w:rsid w:val="002F633D"/>
    <w:rsid w:val="0030363E"/>
    <w:rsid w:val="00304803"/>
    <w:rsid w:val="00305876"/>
    <w:rsid w:val="003114A6"/>
    <w:rsid w:val="00317F00"/>
    <w:rsid w:val="00325E5A"/>
    <w:rsid w:val="00326723"/>
    <w:rsid w:val="003268EF"/>
    <w:rsid w:val="0032712D"/>
    <w:rsid w:val="003315FB"/>
    <w:rsid w:val="00345B2E"/>
    <w:rsid w:val="00351C11"/>
    <w:rsid w:val="0035367A"/>
    <w:rsid w:val="00354EEA"/>
    <w:rsid w:val="00355088"/>
    <w:rsid w:val="00356D09"/>
    <w:rsid w:val="00363753"/>
    <w:rsid w:val="00367B75"/>
    <w:rsid w:val="00370A4F"/>
    <w:rsid w:val="00377489"/>
    <w:rsid w:val="0038033B"/>
    <w:rsid w:val="00387390"/>
    <w:rsid w:val="003873FC"/>
    <w:rsid w:val="0038774F"/>
    <w:rsid w:val="00395AFA"/>
    <w:rsid w:val="003A21C9"/>
    <w:rsid w:val="003A4B2D"/>
    <w:rsid w:val="003A5CD5"/>
    <w:rsid w:val="003B1477"/>
    <w:rsid w:val="003B3F0B"/>
    <w:rsid w:val="003B4D0C"/>
    <w:rsid w:val="003C07E3"/>
    <w:rsid w:val="003C79C0"/>
    <w:rsid w:val="003E5D04"/>
    <w:rsid w:val="003F4B19"/>
    <w:rsid w:val="003F6A8D"/>
    <w:rsid w:val="003F7227"/>
    <w:rsid w:val="0040140B"/>
    <w:rsid w:val="0041122D"/>
    <w:rsid w:val="0041391A"/>
    <w:rsid w:val="00425D2E"/>
    <w:rsid w:val="004355AD"/>
    <w:rsid w:val="0044522C"/>
    <w:rsid w:val="004531FE"/>
    <w:rsid w:val="00455781"/>
    <w:rsid w:val="00465B0E"/>
    <w:rsid w:val="00467B4C"/>
    <w:rsid w:val="00486F8D"/>
    <w:rsid w:val="00490626"/>
    <w:rsid w:val="00494EE5"/>
    <w:rsid w:val="004963E0"/>
    <w:rsid w:val="004A4C11"/>
    <w:rsid w:val="004A52B9"/>
    <w:rsid w:val="004B524E"/>
    <w:rsid w:val="004C0A4A"/>
    <w:rsid w:val="004C4029"/>
    <w:rsid w:val="004C55C3"/>
    <w:rsid w:val="004C60EE"/>
    <w:rsid w:val="004D572C"/>
    <w:rsid w:val="004D7770"/>
    <w:rsid w:val="004E1607"/>
    <w:rsid w:val="004F3272"/>
    <w:rsid w:val="004F7F4E"/>
    <w:rsid w:val="0050367B"/>
    <w:rsid w:val="005074FF"/>
    <w:rsid w:val="00514483"/>
    <w:rsid w:val="00517CF5"/>
    <w:rsid w:val="005230D4"/>
    <w:rsid w:val="00541E69"/>
    <w:rsid w:val="00542B31"/>
    <w:rsid w:val="00542C60"/>
    <w:rsid w:val="005502AE"/>
    <w:rsid w:val="005557E2"/>
    <w:rsid w:val="00560777"/>
    <w:rsid w:val="00565E68"/>
    <w:rsid w:val="00567CDE"/>
    <w:rsid w:val="00576F5D"/>
    <w:rsid w:val="0058700E"/>
    <w:rsid w:val="005914F2"/>
    <w:rsid w:val="0059397E"/>
    <w:rsid w:val="005A0597"/>
    <w:rsid w:val="005A16A4"/>
    <w:rsid w:val="005A2471"/>
    <w:rsid w:val="005B5ADB"/>
    <w:rsid w:val="005C1938"/>
    <w:rsid w:val="005C2190"/>
    <w:rsid w:val="005C419D"/>
    <w:rsid w:val="005D1D42"/>
    <w:rsid w:val="005E00A5"/>
    <w:rsid w:val="005E0818"/>
    <w:rsid w:val="005F5DA8"/>
    <w:rsid w:val="00600DC9"/>
    <w:rsid w:val="00602597"/>
    <w:rsid w:val="00603174"/>
    <w:rsid w:val="00611642"/>
    <w:rsid w:val="00616FA7"/>
    <w:rsid w:val="0062068E"/>
    <w:rsid w:val="006229A6"/>
    <w:rsid w:val="00624CCF"/>
    <w:rsid w:val="0064288D"/>
    <w:rsid w:val="006514EB"/>
    <w:rsid w:val="00660A31"/>
    <w:rsid w:val="00661DDD"/>
    <w:rsid w:val="00663CD7"/>
    <w:rsid w:val="00673DC4"/>
    <w:rsid w:val="0068196E"/>
    <w:rsid w:val="0069273C"/>
    <w:rsid w:val="00692823"/>
    <w:rsid w:val="006A2310"/>
    <w:rsid w:val="006A5C20"/>
    <w:rsid w:val="006A6DDB"/>
    <w:rsid w:val="006C2AA1"/>
    <w:rsid w:val="006C46D6"/>
    <w:rsid w:val="006C5A69"/>
    <w:rsid w:val="006D78F8"/>
    <w:rsid w:val="006E1419"/>
    <w:rsid w:val="006E3693"/>
    <w:rsid w:val="006E4517"/>
    <w:rsid w:val="006E7423"/>
    <w:rsid w:val="006F5C6A"/>
    <w:rsid w:val="0070568F"/>
    <w:rsid w:val="00706232"/>
    <w:rsid w:val="00706B71"/>
    <w:rsid w:val="00713EC6"/>
    <w:rsid w:val="00716100"/>
    <w:rsid w:val="00717C7E"/>
    <w:rsid w:val="00717DFA"/>
    <w:rsid w:val="0073473E"/>
    <w:rsid w:val="00734B07"/>
    <w:rsid w:val="0073634D"/>
    <w:rsid w:val="00740472"/>
    <w:rsid w:val="00742E6F"/>
    <w:rsid w:val="007521BD"/>
    <w:rsid w:val="00753101"/>
    <w:rsid w:val="007656B8"/>
    <w:rsid w:val="00765E04"/>
    <w:rsid w:val="00771933"/>
    <w:rsid w:val="007732F1"/>
    <w:rsid w:val="00775D22"/>
    <w:rsid w:val="00786B03"/>
    <w:rsid w:val="00792FBA"/>
    <w:rsid w:val="007A04AA"/>
    <w:rsid w:val="007A3FA1"/>
    <w:rsid w:val="007A5EC8"/>
    <w:rsid w:val="007B04FE"/>
    <w:rsid w:val="007B14BB"/>
    <w:rsid w:val="007B40E4"/>
    <w:rsid w:val="007D7961"/>
    <w:rsid w:val="007E25DD"/>
    <w:rsid w:val="007E5820"/>
    <w:rsid w:val="007E698F"/>
    <w:rsid w:val="008044BF"/>
    <w:rsid w:val="0081231C"/>
    <w:rsid w:val="008178A7"/>
    <w:rsid w:val="00821956"/>
    <w:rsid w:val="00823FC3"/>
    <w:rsid w:val="00830DCD"/>
    <w:rsid w:val="00834D66"/>
    <w:rsid w:val="00847B4C"/>
    <w:rsid w:val="0085515C"/>
    <w:rsid w:val="00856AD2"/>
    <w:rsid w:val="008617E8"/>
    <w:rsid w:val="0086375A"/>
    <w:rsid w:val="00881162"/>
    <w:rsid w:val="00885E58"/>
    <w:rsid w:val="008A0D7F"/>
    <w:rsid w:val="008A1B2D"/>
    <w:rsid w:val="008A3CB3"/>
    <w:rsid w:val="008A4535"/>
    <w:rsid w:val="008B10FA"/>
    <w:rsid w:val="008B34F0"/>
    <w:rsid w:val="008C02DC"/>
    <w:rsid w:val="008C11B5"/>
    <w:rsid w:val="008C2FD9"/>
    <w:rsid w:val="008C727D"/>
    <w:rsid w:val="008D0717"/>
    <w:rsid w:val="008E51E7"/>
    <w:rsid w:val="008F301F"/>
    <w:rsid w:val="00905384"/>
    <w:rsid w:val="00910BFF"/>
    <w:rsid w:val="00924DF5"/>
    <w:rsid w:val="00925F71"/>
    <w:rsid w:val="00941A31"/>
    <w:rsid w:val="00942682"/>
    <w:rsid w:val="00950C72"/>
    <w:rsid w:val="00951A0F"/>
    <w:rsid w:val="00953A88"/>
    <w:rsid w:val="00954598"/>
    <w:rsid w:val="00957B03"/>
    <w:rsid w:val="00974E8F"/>
    <w:rsid w:val="00987B5F"/>
    <w:rsid w:val="00990C26"/>
    <w:rsid w:val="00991648"/>
    <w:rsid w:val="00993B5D"/>
    <w:rsid w:val="00996693"/>
    <w:rsid w:val="009A1B12"/>
    <w:rsid w:val="009B0611"/>
    <w:rsid w:val="009B1535"/>
    <w:rsid w:val="009C58F5"/>
    <w:rsid w:val="009C63C1"/>
    <w:rsid w:val="009D107F"/>
    <w:rsid w:val="009D2837"/>
    <w:rsid w:val="009E1045"/>
    <w:rsid w:val="009F2988"/>
    <w:rsid w:val="009F49BD"/>
    <w:rsid w:val="00A0227A"/>
    <w:rsid w:val="00A071E2"/>
    <w:rsid w:val="00A07851"/>
    <w:rsid w:val="00A123F8"/>
    <w:rsid w:val="00A500AA"/>
    <w:rsid w:val="00A54E9C"/>
    <w:rsid w:val="00A562B7"/>
    <w:rsid w:val="00A67754"/>
    <w:rsid w:val="00A71D05"/>
    <w:rsid w:val="00A740C4"/>
    <w:rsid w:val="00A83B75"/>
    <w:rsid w:val="00A905C8"/>
    <w:rsid w:val="00A94443"/>
    <w:rsid w:val="00A94E17"/>
    <w:rsid w:val="00AA37FB"/>
    <w:rsid w:val="00AA51DE"/>
    <w:rsid w:val="00AB02C7"/>
    <w:rsid w:val="00AD68E2"/>
    <w:rsid w:val="00AD6DBD"/>
    <w:rsid w:val="00AE7C49"/>
    <w:rsid w:val="00AF0A8F"/>
    <w:rsid w:val="00AF2A13"/>
    <w:rsid w:val="00AF3DCF"/>
    <w:rsid w:val="00B04E45"/>
    <w:rsid w:val="00B117E8"/>
    <w:rsid w:val="00B22C78"/>
    <w:rsid w:val="00B30C24"/>
    <w:rsid w:val="00B30E32"/>
    <w:rsid w:val="00B42E7B"/>
    <w:rsid w:val="00B47644"/>
    <w:rsid w:val="00B47F15"/>
    <w:rsid w:val="00B537D9"/>
    <w:rsid w:val="00B55B46"/>
    <w:rsid w:val="00B56F80"/>
    <w:rsid w:val="00B61110"/>
    <w:rsid w:val="00B6146A"/>
    <w:rsid w:val="00B65278"/>
    <w:rsid w:val="00B65891"/>
    <w:rsid w:val="00BA1604"/>
    <w:rsid w:val="00BB0466"/>
    <w:rsid w:val="00BB0D4E"/>
    <w:rsid w:val="00BC022A"/>
    <w:rsid w:val="00BD2D08"/>
    <w:rsid w:val="00BE1A41"/>
    <w:rsid w:val="00BE24DF"/>
    <w:rsid w:val="00BF0B8D"/>
    <w:rsid w:val="00BF12E5"/>
    <w:rsid w:val="00BF322B"/>
    <w:rsid w:val="00BF3B8E"/>
    <w:rsid w:val="00BF54E1"/>
    <w:rsid w:val="00BF7880"/>
    <w:rsid w:val="00C0122A"/>
    <w:rsid w:val="00C036CE"/>
    <w:rsid w:val="00C1265F"/>
    <w:rsid w:val="00C130E4"/>
    <w:rsid w:val="00C16F4A"/>
    <w:rsid w:val="00C17FBF"/>
    <w:rsid w:val="00C27094"/>
    <w:rsid w:val="00C27890"/>
    <w:rsid w:val="00C318E5"/>
    <w:rsid w:val="00C40FB8"/>
    <w:rsid w:val="00C56477"/>
    <w:rsid w:val="00C56705"/>
    <w:rsid w:val="00C61255"/>
    <w:rsid w:val="00C62D32"/>
    <w:rsid w:val="00C809D0"/>
    <w:rsid w:val="00C82E3A"/>
    <w:rsid w:val="00C83BF7"/>
    <w:rsid w:val="00C83CE2"/>
    <w:rsid w:val="00C92217"/>
    <w:rsid w:val="00C95D11"/>
    <w:rsid w:val="00CA1B05"/>
    <w:rsid w:val="00CA6453"/>
    <w:rsid w:val="00CB7BCA"/>
    <w:rsid w:val="00CC108F"/>
    <w:rsid w:val="00CC122D"/>
    <w:rsid w:val="00CD6BDE"/>
    <w:rsid w:val="00CE20FD"/>
    <w:rsid w:val="00CE22B5"/>
    <w:rsid w:val="00CE5178"/>
    <w:rsid w:val="00CE7983"/>
    <w:rsid w:val="00CF121F"/>
    <w:rsid w:val="00CF181D"/>
    <w:rsid w:val="00CF68B1"/>
    <w:rsid w:val="00D064CE"/>
    <w:rsid w:val="00D13060"/>
    <w:rsid w:val="00D14D39"/>
    <w:rsid w:val="00D229BE"/>
    <w:rsid w:val="00D26FF1"/>
    <w:rsid w:val="00D342C1"/>
    <w:rsid w:val="00D34DFE"/>
    <w:rsid w:val="00D350AB"/>
    <w:rsid w:val="00D37089"/>
    <w:rsid w:val="00D409ED"/>
    <w:rsid w:val="00D4641A"/>
    <w:rsid w:val="00D46A1C"/>
    <w:rsid w:val="00D543BE"/>
    <w:rsid w:val="00D54A31"/>
    <w:rsid w:val="00D60451"/>
    <w:rsid w:val="00D718ED"/>
    <w:rsid w:val="00D778F2"/>
    <w:rsid w:val="00D871CA"/>
    <w:rsid w:val="00D91CD9"/>
    <w:rsid w:val="00D91D63"/>
    <w:rsid w:val="00D9517C"/>
    <w:rsid w:val="00D9577C"/>
    <w:rsid w:val="00DA2F90"/>
    <w:rsid w:val="00DD1DCF"/>
    <w:rsid w:val="00DD6341"/>
    <w:rsid w:val="00DF1152"/>
    <w:rsid w:val="00DF5E44"/>
    <w:rsid w:val="00E14AB9"/>
    <w:rsid w:val="00E25B7C"/>
    <w:rsid w:val="00E3446B"/>
    <w:rsid w:val="00E34DA4"/>
    <w:rsid w:val="00E44494"/>
    <w:rsid w:val="00E61154"/>
    <w:rsid w:val="00E6440F"/>
    <w:rsid w:val="00E74DC1"/>
    <w:rsid w:val="00E816DF"/>
    <w:rsid w:val="00E82208"/>
    <w:rsid w:val="00E83C5E"/>
    <w:rsid w:val="00E86C3E"/>
    <w:rsid w:val="00E87F95"/>
    <w:rsid w:val="00E94E00"/>
    <w:rsid w:val="00E94FCF"/>
    <w:rsid w:val="00EA1E1A"/>
    <w:rsid w:val="00EA54A7"/>
    <w:rsid w:val="00EB1E93"/>
    <w:rsid w:val="00EB45E1"/>
    <w:rsid w:val="00EC0B78"/>
    <w:rsid w:val="00EC3C25"/>
    <w:rsid w:val="00EC5FC4"/>
    <w:rsid w:val="00ED2926"/>
    <w:rsid w:val="00ED40C5"/>
    <w:rsid w:val="00ED7E3A"/>
    <w:rsid w:val="00EE0B27"/>
    <w:rsid w:val="00EE2F18"/>
    <w:rsid w:val="00EE5C63"/>
    <w:rsid w:val="00EF00DF"/>
    <w:rsid w:val="00EF3650"/>
    <w:rsid w:val="00EF5013"/>
    <w:rsid w:val="00EF7644"/>
    <w:rsid w:val="00F00E8B"/>
    <w:rsid w:val="00F05D5D"/>
    <w:rsid w:val="00F179C5"/>
    <w:rsid w:val="00F22307"/>
    <w:rsid w:val="00F22BAA"/>
    <w:rsid w:val="00F32E81"/>
    <w:rsid w:val="00F377BF"/>
    <w:rsid w:val="00F4102B"/>
    <w:rsid w:val="00F51485"/>
    <w:rsid w:val="00F5190C"/>
    <w:rsid w:val="00F56084"/>
    <w:rsid w:val="00F5761A"/>
    <w:rsid w:val="00F61072"/>
    <w:rsid w:val="00F63FE5"/>
    <w:rsid w:val="00F64156"/>
    <w:rsid w:val="00F649F1"/>
    <w:rsid w:val="00F728F3"/>
    <w:rsid w:val="00F74A19"/>
    <w:rsid w:val="00F804B3"/>
    <w:rsid w:val="00F93A82"/>
    <w:rsid w:val="00FA05DC"/>
    <w:rsid w:val="00FA1248"/>
    <w:rsid w:val="00FA3D58"/>
    <w:rsid w:val="00FA4044"/>
    <w:rsid w:val="00FA6586"/>
    <w:rsid w:val="00FB6D76"/>
    <w:rsid w:val="00FC1F62"/>
    <w:rsid w:val="00FC33E8"/>
    <w:rsid w:val="00FE08CD"/>
    <w:rsid w:val="00FF391D"/>
    <w:rsid w:val="00FF6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0F9356"/>
  <w15:docId w15:val="{E7D1E4E2-86BF-4E89-B1B3-FD0C9837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iPriority w:val="99"/>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19BA-F00A-4A80-BB9A-07CEF12CE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5112E7-DEA4-4E6D-954D-6A8E80E07073}">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2DDFCD3-AE1C-432E-9E3D-34B0D5C64D86}">
  <ds:schemaRefs>
    <ds:schemaRef ds:uri="http://schemas.microsoft.com/sharepoint/v3/contenttype/forms"/>
  </ds:schemaRefs>
</ds:datastoreItem>
</file>

<file path=customXml/itemProps4.xml><?xml version="1.0" encoding="utf-8"?>
<ds:datastoreItem xmlns:ds="http://schemas.openxmlformats.org/officeDocument/2006/customXml" ds:itemID="{D3B2BFDF-FE1E-45EF-82FF-342396D5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Aslam, Sadaf</cp:lastModifiedBy>
  <cp:revision>2</cp:revision>
  <dcterms:created xsi:type="dcterms:W3CDTF">2015-08-03T11:51:00Z</dcterms:created>
  <dcterms:modified xsi:type="dcterms:W3CDTF">2015-08-03T11:51:00Z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