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18963" w14:textId="245964C8" w:rsidR="00A40BCC" w:rsidRPr="00BF3D21" w:rsidRDefault="00A40BCC" w:rsidP="00BF3D21">
      <w:pPr>
        <w:pStyle w:val="Default"/>
        <w:ind w:left="-270"/>
        <w:rPr>
          <w:rFonts w:ascii="Arial" w:hAnsi="Arial" w:cs="Arial"/>
          <w:sz w:val="22"/>
          <w:szCs w:val="22"/>
        </w:rPr>
      </w:pPr>
      <w:r w:rsidRPr="00BF3D21">
        <w:rPr>
          <w:rFonts w:ascii="Arial" w:hAnsi="Arial" w:cs="Arial"/>
          <w:b/>
          <w:bCs/>
          <w:spacing w:val="2"/>
          <w:w w:val="103"/>
          <w:sz w:val="22"/>
          <w:szCs w:val="22"/>
        </w:rPr>
        <w:t>PURP</w:t>
      </w:r>
      <w:r w:rsidRPr="00BF3D21">
        <w:rPr>
          <w:rFonts w:ascii="Arial" w:hAnsi="Arial" w:cs="Arial"/>
          <w:b/>
          <w:bCs/>
          <w:spacing w:val="3"/>
          <w:w w:val="103"/>
          <w:sz w:val="22"/>
          <w:szCs w:val="22"/>
        </w:rPr>
        <w:t>O</w:t>
      </w:r>
      <w:r w:rsidRPr="00BF3D21">
        <w:rPr>
          <w:rFonts w:ascii="Arial" w:hAnsi="Arial" w:cs="Arial"/>
          <w:b/>
          <w:bCs/>
          <w:spacing w:val="2"/>
          <w:w w:val="103"/>
          <w:sz w:val="22"/>
          <w:szCs w:val="22"/>
        </w:rPr>
        <w:t>SE</w:t>
      </w:r>
      <w:r w:rsidRPr="00BF3D21">
        <w:rPr>
          <w:rFonts w:ascii="Arial" w:hAnsi="Arial" w:cs="Arial"/>
          <w:b/>
          <w:bCs/>
          <w:w w:val="103"/>
          <w:sz w:val="22"/>
          <w:szCs w:val="22"/>
        </w:rPr>
        <w:t>:</w:t>
      </w:r>
      <w:r w:rsidRPr="00BF3D21">
        <w:rPr>
          <w:rFonts w:ascii="Arial" w:hAnsi="Arial" w:cs="Arial"/>
          <w:color w:val="auto"/>
          <w:sz w:val="22"/>
          <w:szCs w:val="22"/>
        </w:rPr>
        <w:t xml:space="preserve"> </w:t>
      </w:r>
      <w:r w:rsidRPr="00BF3D21">
        <w:rPr>
          <w:rFonts w:ascii="Arial" w:hAnsi="Arial" w:cs="Arial"/>
          <w:sz w:val="22"/>
          <w:szCs w:val="22"/>
        </w:rPr>
        <w:t>The purpose of this Standard Operating Procedure (SOP) is to ensure that clinical re</w:t>
      </w:r>
      <w:r w:rsidR="00DD267E">
        <w:rPr>
          <w:rFonts w:ascii="Arial" w:hAnsi="Arial" w:cs="Arial"/>
          <w:sz w:val="22"/>
          <w:szCs w:val="22"/>
        </w:rPr>
        <w:t>search personnel</w:t>
      </w:r>
      <w:r w:rsidR="003E072F">
        <w:rPr>
          <w:rFonts w:ascii="Arial" w:hAnsi="Arial" w:cs="Arial"/>
          <w:sz w:val="22"/>
          <w:szCs w:val="22"/>
        </w:rPr>
        <w:t xml:space="preserve"> in the CRC receive</w:t>
      </w:r>
      <w:r w:rsidRPr="00BF3D21">
        <w:rPr>
          <w:rFonts w:ascii="Arial" w:hAnsi="Arial" w:cs="Arial"/>
          <w:sz w:val="22"/>
          <w:szCs w:val="22"/>
        </w:rPr>
        <w:t xml:space="preserve"> adequate training required by the principles of the Inte</w:t>
      </w:r>
      <w:r w:rsidR="003E072F">
        <w:rPr>
          <w:rFonts w:ascii="Arial" w:hAnsi="Arial" w:cs="Arial"/>
          <w:sz w:val="22"/>
          <w:szCs w:val="22"/>
        </w:rPr>
        <w:t>rnational Conference on Harmoniz</w:t>
      </w:r>
      <w:r w:rsidRPr="00BF3D21">
        <w:rPr>
          <w:rFonts w:ascii="Arial" w:hAnsi="Arial" w:cs="Arial"/>
          <w:sz w:val="22"/>
          <w:szCs w:val="22"/>
        </w:rPr>
        <w:t>ation (ICH), Guideline for Good Clinical Practice (</w:t>
      </w:r>
      <w:r w:rsidR="004E4936">
        <w:rPr>
          <w:rFonts w:ascii="Arial" w:hAnsi="Arial" w:cs="Arial"/>
          <w:sz w:val="22"/>
          <w:szCs w:val="22"/>
        </w:rPr>
        <w:t>GCP), and University of South Florida (USF)</w:t>
      </w:r>
      <w:r w:rsidRPr="00BF3D21">
        <w:rPr>
          <w:rFonts w:ascii="Arial" w:hAnsi="Arial" w:cs="Arial"/>
          <w:sz w:val="22"/>
          <w:szCs w:val="22"/>
        </w:rPr>
        <w:t xml:space="preserve"> policies and procedures. </w:t>
      </w:r>
    </w:p>
    <w:p w14:paraId="59B18964" w14:textId="77777777" w:rsidR="00A40BCC" w:rsidRPr="00BF3D21" w:rsidRDefault="00A40BCC" w:rsidP="00A40BCC">
      <w:pPr>
        <w:tabs>
          <w:tab w:val="left" w:pos="2160"/>
        </w:tabs>
        <w:autoSpaceDE w:val="0"/>
        <w:autoSpaceDN w:val="0"/>
        <w:adjustRightInd w:val="0"/>
        <w:spacing w:after="0" w:line="240" w:lineRule="auto"/>
        <w:rPr>
          <w:rFonts w:ascii="Arial" w:hAnsi="Arial" w:cs="Arial"/>
        </w:rPr>
      </w:pPr>
      <w:r w:rsidRPr="00BF3D21">
        <w:rPr>
          <w:rFonts w:ascii="Arial" w:hAnsi="Arial" w:cs="Arial"/>
        </w:rPr>
        <w:tab/>
      </w:r>
    </w:p>
    <w:p w14:paraId="298DDD0B" w14:textId="56D5C754" w:rsidR="00940272" w:rsidRDefault="00A40BCC" w:rsidP="00940272">
      <w:pPr>
        <w:pStyle w:val="Default"/>
        <w:ind w:left="-270"/>
        <w:rPr>
          <w:rFonts w:ascii="Arial" w:hAnsi="Arial" w:cs="Arial"/>
          <w:sz w:val="22"/>
          <w:szCs w:val="22"/>
        </w:rPr>
      </w:pPr>
      <w:r w:rsidRPr="00BF3D21">
        <w:rPr>
          <w:rFonts w:ascii="Arial" w:hAnsi="Arial" w:cs="Arial"/>
          <w:b/>
          <w:bCs/>
          <w:spacing w:val="2"/>
          <w:w w:val="103"/>
          <w:sz w:val="22"/>
          <w:szCs w:val="22"/>
        </w:rPr>
        <w:t>SCOPE</w:t>
      </w:r>
      <w:r w:rsidRPr="00BF3D21">
        <w:rPr>
          <w:rFonts w:ascii="Arial" w:hAnsi="Arial" w:cs="Arial"/>
          <w:b/>
          <w:bCs/>
          <w:w w:val="103"/>
          <w:sz w:val="22"/>
          <w:szCs w:val="22"/>
        </w:rPr>
        <w:t>:</w:t>
      </w:r>
      <w:r w:rsidRPr="00BF3D21">
        <w:rPr>
          <w:rFonts w:ascii="Arial" w:hAnsi="Arial" w:cs="Arial"/>
          <w:color w:val="auto"/>
          <w:sz w:val="22"/>
          <w:szCs w:val="22"/>
        </w:rPr>
        <w:t xml:space="preserve">  </w:t>
      </w:r>
      <w:r w:rsidRPr="00BF3D21">
        <w:rPr>
          <w:rFonts w:ascii="Arial" w:hAnsi="Arial" w:cs="Arial"/>
          <w:sz w:val="22"/>
          <w:szCs w:val="22"/>
        </w:rPr>
        <w:t>This SOP applies to all clinical research site personnel involved in the implementation and coordination of clinical research studies</w:t>
      </w:r>
      <w:r w:rsidR="003E072F">
        <w:rPr>
          <w:rFonts w:ascii="Arial" w:hAnsi="Arial" w:cs="Arial"/>
          <w:sz w:val="22"/>
          <w:szCs w:val="22"/>
        </w:rPr>
        <w:t xml:space="preserve"> within the CRC</w:t>
      </w:r>
      <w:r w:rsidRPr="00BF3D21">
        <w:rPr>
          <w:rFonts w:ascii="Arial" w:hAnsi="Arial" w:cs="Arial"/>
          <w:sz w:val="22"/>
          <w:szCs w:val="22"/>
        </w:rPr>
        <w:t xml:space="preserve">.  Each individual shall be qualified by education, training and experience to perform his / her tasks. </w:t>
      </w:r>
    </w:p>
    <w:p w14:paraId="52A91003" w14:textId="77777777" w:rsidR="00940272" w:rsidRDefault="00940272" w:rsidP="00940272">
      <w:pPr>
        <w:pStyle w:val="Default"/>
        <w:ind w:left="-270"/>
        <w:rPr>
          <w:rFonts w:ascii="Arial" w:hAnsi="Arial" w:cs="Arial"/>
          <w:b/>
          <w:bCs/>
          <w:spacing w:val="2"/>
        </w:rPr>
      </w:pPr>
    </w:p>
    <w:p w14:paraId="59B18967" w14:textId="11DE26CF" w:rsidR="00A40BCC" w:rsidRPr="00940272" w:rsidRDefault="00A40BCC" w:rsidP="00940272">
      <w:pPr>
        <w:pStyle w:val="Default"/>
        <w:ind w:left="-270"/>
        <w:rPr>
          <w:rFonts w:ascii="Arial" w:hAnsi="Arial" w:cs="Arial"/>
          <w:sz w:val="22"/>
          <w:szCs w:val="22"/>
        </w:rPr>
      </w:pPr>
      <w:r w:rsidRPr="00940272">
        <w:rPr>
          <w:rFonts w:ascii="Arial" w:hAnsi="Arial" w:cs="Arial"/>
          <w:b/>
          <w:bCs/>
          <w:spacing w:val="2"/>
          <w:sz w:val="22"/>
          <w:szCs w:val="22"/>
        </w:rPr>
        <w:t>RESPONSIBILITY:</w:t>
      </w:r>
      <w:r w:rsidRPr="00940272">
        <w:rPr>
          <w:rFonts w:ascii="Arial" w:hAnsi="Arial" w:cs="Arial"/>
          <w:sz w:val="22"/>
          <w:szCs w:val="22"/>
        </w:rPr>
        <w:t xml:space="preserve">  The Principal Investigator (PI) and all members of the research </w:t>
      </w:r>
      <w:r w:rsidR="00DD267E">
        <w:rPr>
          <w:rFonts w:ascii="Arial" w:hAnsi="Arial" w:cs="Arial"/>
          <w:sz w:val="22"/>
          <w:szCs w:val="22"/>
        </w:rPr>
        <w:t xml:space="preserve">personnel who </w:t>
      </w:r>
      <w:r w:rsidRPr="00940272">
        <w:rPr>
          <w:rFonts w:ascii="Arial" w:hAnsi="Arial" w:cs="Arial"/>
          <w:sz w:val="22"/>
          <w:szCs w:val="22"/>
        </w:rPr>
        <w:t>conduct clinical trials at the CRC are responsible for complying with this SOP.</w:t>
      </w:r>
    </w:p>
    <w:p w14:paraId="252DF056" w14:textId="77777777" w:rsidR="003E072F" w:rsidRDefault="003E072F" w:rsidP="003E072F">
      <w:pPr>
        <w:tabs>
          <w:tab w:val="left" w:pos="2160"/>
        </w:tabs>
        <w:autoSpaceDE w:val="0"/>
        <w:autoSpaceDN w:val="0"/>
        <w:adjustRightInd w:val="0"/>
        <w:spacing w:after="0" w:line="240" w:lineRule="auto"/>
        <w:ind w:left="-270"/>
        <w:rPr>
          <w:rFonts w:ascii="Arial" w:hAnsi="Arial" w:cs="Arial"/>
        </w:rPr>
      </w:pPr>
    </w:p>
    <w:p w14:paraId="59B18969" w14:textId="1FD40E1B" w:rsidR="00BF3D21" w:rsidRPr="00BF3D21" w:rsidRDefault="00A40BCC" w:rsidP="003E072F">
      <w:pPr>
        <w:tabs>
          <w:tab w:val="left" w:pos="2160"/>
        </w:tabs>
        <w:autoSpaceDE w:val="0"/>
        <w:autoSpaceDN w:val="0"/>
        <w:adjustRightInd w:val="0"/>
        <w:spacing w:after="0" w:line="240" w:lineRule="auto"/>
        <w:ind w:left="-270"/>
        <w:rPr>
          <w:rFonts w:ascii="Arial" w:hAnsi="Arial" w:cs="Arial"/>
        </w:rPr>
      </w:pPr>
      <w:r w:rsidRPr="00BF3D21">
        <w:rPr>
          <w:rFonts w:ascii="Arial" w:hAnsi="Arial" w:cs="Arial"/>
          <w:b/>
          <w:bCs/>
          <w:spacing w:val="2"/>
          <w:w w:val="103"/>
        </w:rPr>
        <w:t>DEF</w:t>
      </w:r>
      <w:r w:rsidRPr="00BF3D21">
        <w:rPr>
          <w:rFonts w:ascii="Arial" w:hAnsi="Arial" w:cs="Arial"/>
          <w:b/>
          <w:bCs/>
          <w:spacing w:val="1"/>
          <w:w w:val="103"/>
        </w:rPr>
        <w:t>I</w:t>
      </w:r>
      <w:r w:rsidRPr="00BF3D21">
        <w:rPr>
          <w:rFonts w:ascii="Arial" w:hAnsi="Arial" w:cs="Arial"/>
          <w:b/>
          <w:bCs/>
          <w:spacing w:val="2"/>
          <w:w w:val="103"/>
        </w:rPr>
        <w:t>N</w:t>
      </w:r>
      <w:r w:rsidRPr="00BF3D21">
        <w:rPr>
          <w:rFonts w:ascii="Arial" w:hAnsi="Arial" w:cs="Arial"/>
          <w:b/>
          <w:bCs/>
          <w:spacing w:val="1"/>
          <w:w w:val="103"/>
        </w:rPr>
        <w:t>I</w:t>
      </w:r>
      <w:r w:rsidRPr="00BF3D21">
        <w:rPr>
          <w:rFonts w:ascii="Arial" w:hAnsi="Arial" w:cs="Arial"/>
          <w:b/>
          <w:bCs/>
          <w:spacing w:val="2"/>
          <w:w w:val="103"/>
        </w:rPr>
        <w:t>T</w:t>
      </w:r>
      <w:r w:rsidRPr="00BF3D21">
        <w:rPr>
          <w:rFonts w:ascii="Arial" w:hAnsi="Arial" w:cs="Arial"/>
          <w:b/>
          <w:bCs/>
          <w:spacing w:val="1"/>
          <w:w w:val="103"/>
        </w:rPr>
        <w:t>I</w:t>
      </w:r>
      <w:r w:rsidRPr="00BF3D21">
        <w:rPr>
          <w:rFonts w:ascii="Arial" w:hAnsi="Arial" w:cs="Arial"/>
          <w:b/>
          <w:bCs/>
          <w:spacing w:val="3"/>
          <w:w w:val="103"/>
        </w:rPr>
        <w:t>O</w:t>
      </w:r>
      <w:r w:rsidRPr="00BF3D21">
        <w:rPr>
          <w:rFonts w:ascii="Arial" w:hAnsi="Arial" w:cs="Arial"/>
          <w:b/>
          <w:bCs/>
          <w:spacing w:val="2"/>
          <w:w w:val="103"/>
        </w:rPr>
        <w:t>NS</w:t>
      </w:r>
      <w:r w:rsidRPr="00BF3D21">
        <w:rPr>
          <w:rFonts w:ascii="Arial" w:hAnsi="Arial" w:cs="Arial"/>
          <w:b/>
          <w:bCs/>
          <w:w w:val="103"/>
        </w:rPr>
        <w:t>:</w:t>
      </w:r>
      <w:r w:rsidRPr="00BF3D21">
        <w:rPr>
          <w:rFonts w:ascii="Arial" w:hAnsi="Arial" w:cs="Arial"/>
        </w:rPr>
        <w:tab/>
      </w:r>
    </w:p>
    <w:p w14:paraId="6E69D481" w14:textId="77777777" w:rsidR="003E072F" w:rsidRDefault="003E072F" w:rsidP="00520967">
      <w:pPr>
        <w:autoSpaceDE w:val="0"/>
        <w:autoSpaceDN w:val="0"/>
        <w:adjustRightInd w:val="0"/>
        <w:spacing w:after="0"/>
        <w:ind w:left="-270"/>
        <w:rPr>
          <w:rFonts w:ascii="Arial" w:hAnsi="Arial" w:cs="Arial"/>
        </w:rPr>
      </w:pPr>
    </w:p>
    <w:p w14:paraId="59B1896B" w14:textId="77777777" w:rsidR="00BF3D21" w:rsidRPr="005C1B9E" w:rsidRDefault="00BF3D21" w:rsidP="003E072F">
      <w:pPr>
        <w:autoSpaceDE w:val="0"/>
        <w:autoSpaceDN w:val="0"/>
        <w:adjustRightInd w:val="0"/>
        <w:spacing w:after="0" w:line="240" w:lineRule="auto"/>
        <w:ind w:left="-270"/>
        <w:rPr>
          <w:rFonts w:ascii="Arial" w:hAnsi="Arial" w:cs="Arial"/>
          <w:b/>
        </w:rPr>
      </w:pPr>
      <w:r w:rsidRPr="005C1B9E">
        <w:rPr>
          <w:rFonts w:ascii="Arial" w:hAnsi="Arial" w:cs="Arial"/>
          <w:b/>
        </w:rPr>
        <w:t>Belmont Report:</w:t>
      </w:r>
      <w:r w:rsidR="00671808" w:rsidRPr="005C1B9E">
        <w:rPr>
          <w:rFonts w:ascii="Arial" w:hAnsi="Arial" w:cs="Arial"/>
          <w:b/>
        </w:rPr>
        <w:t xml:space="preserve"> </w:t>
      </w:r>
      <w:r w:rsidR="00C35268" w:rsidRPr="005C1B9E">
        <w:rPr>
          <w:rFonts w:ascii="Arial" w:hAnsi="Arial" w:cs="Arial"/>
          <w:lang w:val="en"/>
        </w:rPr>
        <w:t>R</w:t>
      </w:r>
      <w:r w:rsidR="00671808" w:rsidRPr="005C1B9E">
        <w:rPr>
          <w:rFonts w:ascii="Arial" w:hAnsi="Arial" w:cs="Arial"/>
          <w:lang w:val="en"/>
        </w:rPr>
        <w:t xml:space="preserve">eport created by the </w:t>
      </w:r>
      <w:hyperlink r:id="rId11" w:tooltip="National Commission for the Protection of Human Subjects of Biomedical and Behavioral Research" w:history="1">
        <w:r w:rsidR="00671808" w:rsidRPr="005C1B9E">
          <w:rPr>
            <w:rStyle w:val="Hyperlink"/>
            <w:rFonts w:ascii="Arial" w:hAnsi="Arial" w:cs="Arial"/>
            <w:color w:val="auto"/>
            <w:u w:val="none"/>
            <w:lang w:val="en"/>
          </w:rPr>
          <w:t>National Commission for the Protection of Human Subjects of Biomedical and Behavioral Research</w:t>
        </w:r>
      </w:hyperlink>
      <w:r w:rsidR="00F06434" w:rsidRPr="005C1B9E">
        <w:rPr>
          <w:rFonts w:ascii="Arial" w:hAnsi="Arial" w:cs="Arial"/>
          <w:lang w:val="en"/>
        </w:rPr>
        <w:t xml:space="preserve"> </w:t>
      </w:r>
      <w:r w:rsidR="00C35268" w:rsidRPr="005C1B9E">
        <w:rPr>
          <w:rFonts w:ascii="Arial" w:hAnsi="Arial" w:cs="Arial"/>
          <w:lang w:val="en"/>
        </w:rPr>
        <w:t>that established ethical principles and g</w:t>
      </w:r>
      <w:r w:rsidR="005C1B9E">
        <w:rPr>
          <w:rFonts w:ascii="Arial" w:hAnsi="Arial" w:cs="Arial"/>
          <w:lang w:val="en"/>
        </w:rPr>
        <w:t>uidelines for the protection of human s</w:t>
      </w:r>
      <w:r w:rsidR="00C35268" w:rsidRPr="005C1B9E">
        <w:rPr>
          <w:rFonts w:ascii="Arial" w:hAnsi="Arial" w:cs="Arial"/>
          <w:lang w:val="en"/>
        </w:rPr>
        <w:t>ub</w:t>
      </w:r>
      <w:r w:rsidR="005C1B9E">
        <w:rPr>
          <w:rFonts w:ascii="Arial" w:hAnsi="Arial" w:cs="Arial"/>
          <w:lang w:val="en"/>
        </w:rPr>
        <w:t>jects of r</w:t>
      </w:r>
      <w:r w:rsidR="00F06434" w:rsidRPr="005C1B9E">
        <w:rPr>
          <w:rFonts w:ascii="Arial" w:hAnsi="Arial" w:cs="Arial"/>
          <w:lang w:val="en"/>
        </w:rPr>
        <w:t xml:space="preserve">esearch.  </w:t>
      </w:r>
      <w:r w:rsidR="005C1B9E" w:rsidRPr="005C1B9E">
        <w:rPr>
          <w:rFonts w:ascii="Arial" w:hAnsi="Arial" w:cs="Arial"/>
          <w:lang w:val="en"/>
        </w:rPr>
        <w:t xml:space="preserve">It is based on three ethical principles that should guide research: </w:t>
      </w:r>
      <w:r w:rsidR="00F06434" w:rsidRPr="005C1B9E">
        <w:rPr>
          <w:rFonts w:ascii="Arial" w:hAnsi="Arial" w:cs="Arial"/>
        </w:rPr>
        <w:t>respect of persons, beneficence and justice.</w:t>
      </w:r>
    </w:p>
    <w:p w14:paraId="59B1896C" w14:textId="77777777" w:rsidR="00BF3D21" w:rsidRDefault="00BF3D21" w:rsidP="005E0786">
      <w:pPr>
        <w:autoSpaceDE w:val="0"/>
        <w:autoSpaceDN w:val="0"/>
        <w:adjustRightInd w:val="0"/>
        <w:spacing w:after="0"/>
        <w:rPr>
          <w:rFonts w:ascii="Arial" w:hAnsi="Arial" w:cs="Arial"/>
        </w:rPr>
      </w:pPr>
    </w:p>
    <w:p w14:paraId="59B1896D" w14:textId="77777777" w:rsidR="00BF3D21" w:rsidRPr="00671808" w:rsidRDefault="00BF3D21" w:rsidP="003E072F">
      <w:pPr>
        <w:autoSpaceDE w:val="0"/>
        <w:autoSpaceDN w:val="0"/>
        <w:adjustRightInd w:val="0"/>
        <w:spacing w:after="0" w:line="240" w:lineRule="auto"/>
        <w:ind w:left="-270"/>
        <w:rPr>
          <w:rFonts w:ascii="Arial" w:hAnsi="Arial" w:cs="Arial"/>
          <w:b/>
        </w:rPr>
      </w:pPr>
      <w:r w:rsidRPr="00671808">
        <w:rPr>
          <w:rFonts w:ascii="Arial" w:hAnsi="Arial" w:cs="Arial"/>
          <w:b/>
        </w:rPr>
        <w:t>Declaration of Helsinki:</w:t>
      </w:r>
      <w:r w:rsidR="00671808" w:rsidRPr="00671808">
        <w:rPr>
          <w:rFonts w:ascii="Arial" w:hAnsi="Arial" w:cs="Arial"/>
          <w:b/>
        </w:rPr>
        <w:t xml:space="preserve"> </w:t>
      </w:r>
      <w:r w:rsidR="00671808" w:rsidRPr="00671808">
        <w:rPr>
          <w:rFonts w:ascii="Arial" w:hAnsi="Arial" w:cs="Arial"/>
        </w:rPr>
        <w:t>A</w:t>
      </w:r>
      <w:r w:rsidR="00671808">
        <w:rPr>
          <w:rFonts w:ascii="Arial" w:hAnsi="Arial" w:cs="Arial"/>
        </w:rPr>
        <w:t xml:space="preserve"> set</w:t>
      </w:r>
      <w:r w:rsidR="00671808" w:rsidRPr="00671808">
        <w:rPr>
          <w:rFonts w:ascii="Arial" w:hAnsi="Arial" w:cs="Arial"/>
        </w:rPr>
        <w:t xml:space="preserve"> of ethical principles </w:t>
      </w:r>
      <w:r w:rsidR="00671808">
        <w:rPr>
          <w:rFonts w:ascii="Arial" w:hAnsi="Arial" w:cs="Arial"/>
        </w:rPr>
        <w:t xml:space="preserve">developed by the World Medical Association (WMA) </w:t>
      </w:r>
      <w:r w:rsidR="00671808" w:rsidRPr="00671808">
        <w:rPr>
          <w:rFonts w:ascii="Arial" w:hAnsi="Arial" w:cs="Arial"/>
        </w:rPr>
        <w:t xml:space="preserve">to provide guidance to physicians and other participants in medical research involving human subjects. </w:t>
      </w:r>
      <w:r w:rsidR="00671808" w:rsidRPr="00671808">
        <w:rPr>
          <w:rFonts w:ascii="Arial" w:hAnsi="Arial" w:cs="Arial"/>
          <w:lang w:val="en"/>
        </w:rPr>
        <w:t xml:space="preserve">It is widely regarded as the cornerstone document of human </w:t>
      </w:r>
      <w:hyperlink r:id="rId12" w:tooltip="Research ethics" w:history="1">
        <w:r w:rsidR="00671808" w:rsidRPr="00671808">
          <w:rPr>
            <w:rStyle w:val="Hyperlink"/>
            <w:rFonts w:ascii="Arial" w:hAnsi="Arial" w:cs="Arial"/>
            <w:color w:val="auto"/>
            <w:u w:val="none"/>
            <w:lang w:val="en"/>
          </w:rPr>
          <w:t>research ethics</w:t>
        </w:r>
      </w:hyperlink>
      <w:r w:rsidR="00671808">
        <w:rPr>
          <w:lang w:val="en"/>
        </w:rPr>
        <w:t>.</w:t>
      </w:r>
    </w:p>
    <w:p w14:paraId="59B1896E" w14:textId="77777777" w:rsidR="00BF3D21" w:rsidRPr="00BF3D21" w:rsidRDefault="00BF3D21" w:rsidP="005E0786">
      <w:pPr>
        <w:autoSpaceDE w:val="0"/>
        <w:autoSpaceDN w:val="0"/>
        <w:adjustRightInd w:val="0"/>
        <w:spacing w:after="0"/>
        <w:rPr>
          <w:rFonts w:ascii="Arial" w:hAnsi="Arial" w:cs="Arial"/>
        </w:rPr>
      </w:pPr>
    </w:p>
    <w:p w14:paraId="59B1896F" w14:textId="78B7FDA6" w:rsidR="00A40BCC" w:rsidRPr="00BF3D21" w:rsidRDefault="00A40BCC" w:rsidP="003E072F">
      <w:pPr>
        <w:autoSpaceDE w:val="0"/>
        <w:autoSpaceDN w:val="0"/>
        <w:adjustRightInd w:val="0"/>
        <w:spacing w:after="0" w:line="240" w:lineRule="auto"/>
        <w:ind w:left="-270"/>
        <w:rPr>
          <w:rFonts w:ascii="Arial" w:hAnsi="Arial" w:cs="Arial"/>
        </w:rPr>
      </w:pPr>
      <w:r w:rsidRPr="00BF3D21">
        <w:rPr>
          <w:rFonts w:ascii="Arial" w:hAnsi="Arial" w:cs="Arial"/>
          <w:b/>
        </w:rPr>
        <w:t>Good Clinical Practice (GCP)</w:t>
      </w:r>
      <w:r w:rsidR="00BF3D21" w:rsidRPr="00BF3D21">
        <w:rPr>
          <w:rFonts w:ascii="Arial" w:hAnsi="Arial" w:cs="Arial"/>
          <w:b/>
        </w:rPr>
        <w:t>:</w:t>
      </w:r>
      <w:r w:rsidRPr="00BF3D21">
        <w:rPr>
          <w:rFonts w:ascii="Arial" w:hAnsi="Arial" w:cs="Arial"/>
          <w:b/>
        </w:rPr>
        <w:t xml:space="preserve"> </w:t>
      </w:r>
      <w:r w:rsidRPr="00BF3D21">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59B18970" w14:textId="77777777" w:rsidR="00A40BCC" w:rsidRPr="00BF3D21" w:rsidRDefault="00A40BCC" w:rsidP="00713232">
      <w:pPr>
        <w:autoSpaceDE w:val="0"/>
        <w:autoSpaceDN w:val="0"/>
        <w:adjustRightInd w:val="0"/>
        <w:spacing w:after="0" w:line="240" w:lineRule="auto"/>
        <w:rPr>
          <w:rFonts w:ascii="Arial" w:hAnsi="Arial" w:cs="Arial"/>
          <w:b/>
        </w:rPr>
      </w:pPr>
    </w:p>
    <w:p w14:paraId="59B18971" w14:textId="32B95427" w:rsidR="005B5BEA" w:rsidRDefault="00A40BCC" w:rsidP="00520967">
      <w:pPr>
        <w:spacing w:line="240" w:lineRule="auto"/>
        <w:ind w:left="-270"/>
        <w:rPr>
          <w:rFonts w:ascii="Arial" w:hAnsi="Arial" w:cs="Arial"/>
        </w:rPr>
      </w:pPr>
      <w:r w:rsidRPr="00BF3D21">
        <w:rPr>
          <w:rFonts w:ascii="Arial" w:hAnsi="Arial" w:cs="Arial"/>
          <w:b/>
        </w:rPr>
        <w:t xml:space="preserve">International </w:t>
      </w:r>
      <w:r w:rsidR="00447AAD">
        <w:rPr>
          <w:rFonts w:ascii="Arial" w:hAnsi="Arial" w:cs="Arial"/>
          <w:b/>
        </w:rPr>
        <w:t>Conference o</w:t>
      </w:r>
      <w:r w:rsidR="003E072F">
        <w:rPr>
          <w:rFonts w:ascii="Arial" w:hAnsi="Arial" w:cs="Arial"/>
          <w:b/>
        </w:rPr>
        <w:t>n Harmoniz</w:t>
      </w:r>
      <w:r w:rsidRPr="00BF3D21">
        <w:rPr>
          <w:rFonts w:ascii="Arial" w:hAnsi="Arial" w:cs="Arial"/>
          <w:b/>
        </w:rPr>
        <w:t>ation (ICH)</w:t>
      </w:r>
      <w:r w:rsidR="00BF3D21" w:rsidRPr="00BF3D21">
        <w:rPr>
          <w:rFonts w:ascii="Arial" w:hAnsi="Arial" w:cs="Arial"/>
          <w:b/>
        </w:rPr>
        <w:t xml:space="preserve">: </w:t>
      </w:r>
      <w:r w:rsidRPr="00BF3D21">
        <w:rPr>
          <w:rFonts w:ascii="Arial" w:hAnsi="Arial" w:cs="Arial"/>
        </w:rPr>
        <w:t xml:space="preserve"> A joint collaboration between the United States, European Union (EU) and Japan that established the ICH GCP Guideline aimed to provide a unified standard to facilitate the mutual acceptance of clinical data by the regulatory authorities of these jurisdictions</w:t>
      </w:r>
    </w:p>
    <w:p w14:paraId="59B18972" w14:textId="77777777" w:rsidR="00BF3D21" w:rsidRPr="005B5BEA" w:rsidRDefault="00BF3D21" w:rsidP="003E072F">
      <w:pPr>
        <w:spacing w:line="240" w:lineRule="auto"/>
        <w:ind w:left="-270"/>
        <w:rPr>
          <w:rFonts w:ascii="Arial" w:hAnsi="Arial" w:cs="Arial"/>
        </w:rPr>
      </w:pPr>
      <w:r>
        <w:rPr>
          <w:rFonts w:ascii="Arial" w:hAnsi="Arial" w:cs="Arial"/>
          <w:b/>
        </w:rPr>
        <w:t>N</w:t>
      </w:r>
      <w:r w:rsidRPr="00BF3D21">
        <w:rPr>
          <w:rFonts w:ascii="Arial" w:hAnsi="Arial" w:cs="Arial"/>
          <w:b/>
        </w:rPr>
        <w:t>uremburg Code:</w:t>
      </w:r>
      <w:r w:rsidR="005B5BEA">
        <w:rPr>
          <w:rFonts w:ascii="Arial" w:hAnsi="Arial" w:cs="Arial"/>
          <w:b/>
        </w:rPr>
        <w:t xml:space="preserve"> </w:t>
      </w:r>
      <w:r w:rsidR="005B5BEA" w:rsidRPr="005B5BEA">
        <w:rPr>
          <w:rFonts w:ascii="Arial" w:hAnsi="Arial" w:cs="Arial"/>
          <w:lang w:val="en"/>
        </w:rPr>
        <w:t xml:space="preserve">A set of </w:t>
      </w:r>
      <w:r w:rsidR="005B5BEA">
        <w:rPr>
          <w:rFonts w:ascii="Arial" w:hAnsi="Arial" w:cs="Arial"/>
          <w:lang w:val="en"/>
        </w:rPr>
        <w:t xml:space="preserve">ten </w:t>
      </w:r>
      <w:hyperlink r:id="rId13" w:tooltip="Research ethics" w:history="1">
        <w:r w:rsidR="005B5BEA" w:rsidRPr="005B5BEA">
          <w:rPr>
            <w:rStyle w:val="Hyperlink"/>
            <w:rFonts w:ascii="Arial" w:hAnsi="Arial" w:cs="Arial"/>
            <w:color w:val="auto"/>
            <w:u w:val="none"/>
            <w:lang w:val="en"/>
          </w:rPr>
          <w:t>research ethics</w:t>
        </w:r>
      </w:hyperlink>
      <w:r w:rsidR="005B5BEA" w:rsidRPr="005B5BEA">
        <w:rPr>
          <w:rFonts w:ascii="Arial" w:hAnsi="Arial" w:cs="Arial"/>
          <w:lang w:val="en"/>
        </w:rPr>
        <w:t xml:space="preserve"> principles for </w:t>
      </w:r>
      <w:hyperlink r:id="rId14" w:tooltip="Human experimentation" w:history="1">
        <w:r w:rsidR="005B5BEA" w:rsidRPr="005B5BEA">
          <w:rPr>
            <w:rStyle w:val="Hyperlink"/>
            <w:rFonts w:ascii="Arial" w:hAnsi="Arial" w:cs="Arial"/>
            <w:color w:val="auto"/>
            <w:u w:val="none"/>
            <w:lang w:val="en"/>
          </w:rPr>
          <w:t>human experimentation</w:t>
        </w:r>
      </w:hyperlink>
      <w:r w:rsidR="005B5BEA">
        <w:rPr>
          <w:rFonts w:ascii="Arial" w:hAnsi="Arial" w:cs="Arial"/>
          <w:lang w:val="en"/>
        </w:rPr>
        <w:t xml:space="preserve"> established </w:t>
      </w:r>
      <w:r w:rsidR="005B5BEA" w:rsidRPr="005B5BEA">
        <w:rPr>
          <w:rFonts w:ascii="Arial" w:hAnsi="Arial" w:cs="Arial"/>
          <w:lang w:val="en"/>
        </w:rPr>
        <w:t xml:space="preserve">as a result of the </w:t>
      </w:r>
      <w:hyperlink r:id="rId15" w:tooltip="Subsequent Nuremberg Trials" w:history="1">
        <w:r w:rsidR="005B5BEA">
          <w:rPr>
            <w:rStyle w:val="Hyperlink"/>
            <w:rFonts w:ascii="Arial" w:hAnsi="Arial" w:cs="Arial"/>
            <w:color w:val="auto"/>
            <w:u w:val="none"/>
            <w:lang w:val="en"/>
          </w:rPr>
          <w:t>s</w:t>
        </w:r>
        <w:r w:rsidR="005B5BEA" w:rsidRPr="005B5BEA">
          <w:rPr>
            <w:rStyle w:val="Hyperlink"/>
            <w:rFonts w:ascii="Arial" w:hAnsi="Arial" w:cs="Arial"/>
            <w:color w:val="auto"/>
            <w:u w:val="none"/>
            <w:lang w:val="en"/>
          </w:rPr>
          <w:t>ubsequent Nuremberg Trials</w:t>
        </w:r>
      </w:hyperlink>
      <w:r w:rsidR="005B5BEA" w:rsidRPr="005B5BEA">
        <w:rPr>
          <w:rFonts w:ascii="Arial" w:hAnsi="Arial" w:cs="Arial"/>
          <w:lang w:val="en"/>
        </w:rPr>
        <w:t xml:space="preserve"> at the end of the </w:t>
      </w:r>
      <w:hyperlink r:id="rId16" w:tooltip="World War II" w:history="1">
        <w:r w:rsidR="005B5BEA" w:rsidRPr="005B5BEA">
          <w:rPr>
            <w:rStyle w:val="Hyperlink"/>
            <w:rFonts w:ascii="Arial" w:hAnsi="Arial" w:cs="Arial"/>
            <w:color w:val="auto"/>
            <w:u w:val="none"/>
            <w:lang w:val="en"/>
          </w:rPr>
          <w:t>Second World War</w:t>
        </w:r>
      </w:hyperlink>
      <w:r w:rsidR="005B5BEA" w:rsidRPr="005B5BEA">
        <w:rPr>
          <w:rFonts w:ascii="Arial" w:hAnsi="Arial" w:cs="Arial"/>
          <w:lang w:val="en"/>
        </w:rPr>
        <w:t>.</w:t>
      </w:r>
    </w:p>
    <w:p w14:paraId="4E2BCCCA" w14:textId="7F9E04B1" w:rsidR="003E072F" w:rsidRDefault="00240840" w:rsidP="003E072F">
      <w:pPr>
        <w:spacing w:line="240" w:lineRule="auto"/>
        <w:ind w:left="-270"/>
        <w:rPr>
          <w:rFonts w:ascii="Arial" w:hAnsi="Arial" w:cs="Arial"/>
        </w:rPr>
      </w:pPr>
      <w:r>
        <w:rPr>
          <w:rFonts w:ascii="Arial" w:hAnsi="Arial" w:cs="Arial"/>
          <w:b/>
        </w:rPr>
        <w:t>EPIC</w:t>
      </w:r>
      <w:bookmarkStart w:id="0" w:name="_GoBack"/>
      <w:bookmarkEnd w:id="0"/>
      <w:r w:rsidR="00BF3D21" w:rsidRPr="00BF3D21">
        <w:rPr>
          <w:rFonts w:ascii="Arial" w:hAnsi="Arial" w:cs="Arial"/>
          <w:b/>
        </w:rPr>
        <w:t xml:space="preserve">: </w:t>
      </w:r>
      <w:r w:rsidR="00A40BCC" w:rsidRPr="00BF3D21">
        <w:rPr>
          <w:rFonts w:ascii="Arial" w:hAnsi="Arial" w:cs="Arial"/>
        </w:rPr>
        <w:t>The electronic medical record (EMR)</w:t>
      </w:r>
      <w:r w:rsidR="003E072F">
        <w:rPr>
          <w:rFonts w:ascii="Arial" w:hAnsi="Arial" w:cs="Arial"/>
        </w:rPr>
        <w:t xml:space="preserve"> and scheduling/billing system</w:t>
      </w:r>
      <w:r w:rsidR="00A40BCC" w:rsidRPr="00BF3D21">
        <w:rPr>
          <w:rFonts w:ascii="Arial" w:hAnsi="Arial" w:cs="Arial"/>
        </w:rPr>
        <w:t xml:space="preserve"> that serves the University of South Florida Physician’s Group (USFPG)</w:t>
      </w:r>
    </w:p>
    <w:p w14:paraId="39B348D3" w14:textId="77777777" w:rsidR="00A31D12" w:rsidRDefault="00A31D12" w:rsidP="003E072F">
      <w:pPr>
        <w:spacing w:line="240" w:lineRule="auto"/>
        <w:ind w:left="-270"/>
        <w:rPr>
          <w:rFonts w:ascii="Arial" w:hAnsi="Arial" w:cs="Arial"/>
          <w:b/>
        </w:rPr>
      </w:pPr>
    </w:p>
    <w:p w14:paraId="2DFD9135" w14:textId="77777777" w:rsidR="00A31D12" w:rsidRDefault="00A31D12" w:rsidP="003E072F">
      <w:pPr>
        <w:spacing w:line="240" w:lineRule="auto"/>
        <w:ind w:left="-270"/>
        <w:rPr>
          <w:rFonts w:ascii="Arial" w:hAnsi="Arial" w:cs="Arial"/>
          <w:b/>
        </w:rPr>
      </w:pPr>
    </w:p>
    <w:p w14:paraId="59B18979" w14:textId="4AE2C52C" w:rsidR="00A40BCC" w:rsidRPr="00447AAD" w:rsidRDefault="00BF3D21" w:rsidP="003E072F">
      <w:pPr>
        <w:spacing w:line="240" w:lineRule="auto"/>
        <w:ind w:left="-270"/>
        <w:rPr>
          <w:rFonts w:ascii="Arial" w:hAnsi="Arial" w:cs="Arial"/>
        </w:rPr>
      </w:pPr>
      <w:r w:rsidRPr="00447AAD">
        <w:rPr>
          <w:rFonts w:ascii="Arial" w:hAnsi="Arial" w:cs="Arial"/>
          <w:b/>
        </w:rPr>
        <w:lastRenderedPageBreak/>
        <w:t>PROCEDURE</w:t>
      </w:r>
      <w:r w:rsidR="00A40BCC" w:rsidRPr="00447AAD">
        <w:rPr>
          <w:rFonts w:ascii="Arial" w:hAnsi="Arial" w:cs="Arial"/>
          <w:b/>
        </w:rPr>
        <w:t>:</w:t>
      </w:r>
    </w:p>
    <w:p w14:paraId="59B1897A" w14:textId="77777777" w:rsidR="00A40BCC" w:rsidRPr="00447AAD" w:rsidRDefault="00A40BCC" w:rsidP="00BD4997">
      <w:pPr>
        <w:pStyle w:val="ListParagraph"/>
        <w:numPr>
          <w:ilvl w:val="0"/>
          <w:numId w:val="34"/>
        </w:numPr>
        <w:tabs>
          <w:tab w:val="left" w:pos="90"/>
          <w:tab w:val="right" w:pos="8492"/>
        </w:tabs>
        <w:spacing w:after="0" w:line="240" w:lineRule="auto"/>
        <w:ind w:left="90"/>
        <w:rPr>
          <w:rFonts w:ascii="Arial" w:hAnsi="Arial" w:cs="Arial"/>
        </w:rPr>
      </w:pPr>
      <w:r w:rsidRPr="00447AAD">
        <w:rPr>
          <w:rFonts w:ascii="Arial" w:hAnsi="Arial" w:cs="Arial"/>
        </w:rPr>
        <w:t>Initial employee training begins on the new employee’s start date and continues throughout a training period determined by the department manager and/or designated department representative. Ongoing employee training will occur throughout employment at USF Health.</w:t>
      </w:r>
    </w:p>
    <w:p w14:paraId="59B1897B" w14:textId="77777777" w:rsidR="00A40BCC" w:rsidRPr="00447AAD" w:rsidRDefault="00A40BCC" w:rsidP="00187620">
      <w:pPr>
        <w:tabs>
          <w:tab w:val="right" w:pos="8492"/>
        </w:tabs>
        <w:spacing w:after="0" w:line="240" w:lineRule="auto"/>
        <w:ind w:left="360"/>
        <w:rPr>
          <w:rFonts w:ascii="Arial" w:hAnsi="Arial" w:cs="Arial"/>
        </w:rPr>
      </w:pPr>
    </w:p>
    <w:p w14:paraId="59B1897C" w14:textId="1FAA0F29" w:rsidR="004E4936" w:rsidRPr="004E4936" w:rsidRDefault="00A40BCC" w:rsidP="00BD4997">
      <w:pPr>
        <w:pStyle w:val="ListParagraph"/>
        <w:numPr>
          <w:ilvl w:val="0"/>
          <w:numId w:val="34"/>
        </w:numPr>
        <w:tabs>
          <w:tab w:val="right" w:pos="8492"/>
        </w:tabs>
        <w:spacing w:after="0" w:line="240" w:lineRule="auto"/>
        <w:ind w:left="90"/>
        <w:rPr>
          <w:rFonts w:ascii="Arial" w:hAnsi="Arial" w:cs="Arial"/>
        </w:rPr>
      </w:pPr>
      <w:r w:rsidRPr="00447AAD">
        <w:rPr>
          <w:rFonts w:ascii="Arial" w:hAnsi="Arial" w:cs="Arial"/>
        </w:rPr>
        <w:t xml:space="preserve">All new participating investigators and clinical research </w:t>
      </w:r>
      <w:r w:rsidR="00DD267E">
        <w:rPr>
          <w:rFonts w:ascii="Arial" w:hAnsi="Arial" w:cs="Arial"/>
        </w:rPr>
        <w:t>personnel</w:t>
      </w:r>
      <w:r w:rsidRPr="00447AAD">
        <w:rPr>
          <w:rFonts w:ascii="Arial" w:hAnsi="Arial" w:cs="Arial"/>
        </w:rPr>
        <w:t xml:space="preserve"> will participate in training programs to acquaint them with the princip</w:t>
      </w:r>
      <w:r w:rsidR="004E4936">
        <w:rPr>
          <w:rFonts w:ascii="Arial" w:hAnsi="Arial" w:cs="Arial"/>
        </w:rPr>
        <w:t>les of Good Clinical Practices.</w:t>
      </w:r>
      <w:r w:rsidRPr="004E4936">
        <w:rPr>
          <w:rFonts w:ascii="Arial" w:hAnsi="Arial" w:cs="Arial"/>
        </w:rPr>
        <w:t xml:space="preserve"> The orientation program </w:t>
      </w:r>
      <w:r w:rsidR="003E072F">
        <w:rPr>
          <w:rFonts w:ascii="Arial" w:hAnsi="Arial" w:cs="Arial"/>
        </w:rPr>
        <w:t>may include</w:t>
      </w:r>
      <w:r w:rsidRPr="004E4936">
        <w:rPr>
          <w:rFonts w:ascii="Arial" w:hAnsi="Arial" w:cs="Arial"/>
        </w:rPr>
        <w:t xml:space="preserve"> information</w:t>
      </w:r>
      <w:r w:rsidR="003E072F">
        <w:rPr>
          <w:rFonts w:ascii="Arial" w:hAnsi="Arial" w:cs="Arial"/>
        </w:rPr>
        <w:t xml:space="preserve"> on the following topics</w:t>
      </w:r>
      <w:r w:rsidRPr="004E4936">
        <w:rPr>
          <w:rFonts w:ascii="Arial" w:hAnsi="Arial" w:cs="Arial"/>
          <w:i/>
          <w:iCs/>
        </w:rPr>
        <w:t>:</w:t>
      </w:r>
    </w:p>
    <w:p w14:paraId="59B1897D" w14:textId="77777777" w:rsidR="004E4936" w:rsidRPr="004E4936" w:rsidRDefault="004E4936" w:rsidP="004E4936">
      <w:pPr>
        <w:tabs>
          <w:tab w:val="right" w:pos="8492"/>
        </w:tabs>
        <w:spacing w:after="0" w:line="240" w:lineRule="auto"/>
        <w:rPr>
          <w:rFonts w:ascii="Arial" w:hAnsi="Arial" w:cs="Arial"/>
        </w:rPr>
      </w:pPr>
    </w:p>
    <w:p w14:paraId="59B1897E"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Historical overview and global perspective of clinical research</w:t>
      </w:r>
    </w:p>
    <w:p w14:paraId="59B1897F"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Glossary of terms and definitions</w:t>
      </w:r>
    </w:p>
    <w:p w14:paraId="59B18980" w14:textId="0CE2C493"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SOPs of the </w:t>
      </w:r>
      <w:r w:rsidR="00C1523C">
        <w:rPr>
          <w:rFonts w:ascii="Arial" w:hAnsi="Arial" w:cs="Arial"/>
        </w:rPr>
        <w:t>i</w:t>
      </w:r>
      <w:r w:rsidRPr="004E4936">
        <w:rPr>
          <w:rFonts w:ascii="Arial" w:hAnsi="Arial" w:cs="Arial"/>
        </w:rPr>
        <w:t>nvestigative site</w:t>
      </w:r>
    </w:p>
    <w:p w14:paraId="59B18981"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GCP and ICH Guidelines</w:t>
      </w:r>
    </w:p>
    <w:p w14:paraId="59B18982" w14:textId="729BF6F8"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Sponsor </w:t>
      </w:r>
      <w:r w:rsidR="00C1523C">
        <w:rPr>
          <w:rFonts w:ascii="Arial" w:hAnsi="Arial" w:cs="Arial"/>
        </w:rPr>
        <w:t>v</w:t>
      </w:r>
      <w:r w:rsidRPr="004E4936">
        <w:rPr>
          <w:rFonts w:ascii="Arial" w:hAnsi="Arial" w:cs="Arial"/>
        </w:rPr>
        <w:t>isits</w:t>
      </w:r>
    </w:p>
    <w:p w14:paraId="59B18983" w14:textId="645E7171"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IRB </w:t>
      </w:r>
      <w:r w:rsidR="00C1523C">
        <w:rPr>
          <w:rFonts w:ascii="Arial" w:hAnsi="Arial" w:cs="Arial"/>
        </w:rPr>
        <w:t>b</w:t>
      </w:r>
      <w:r w:rsidRPr="004E4936">
        <w:rPr>
          <w:rFonts w:ascii="Arial" w:hAnsi="Arial" w:cs="Arial"/>
        </w:rPr>
        <w:t>ylaws, submission procedures and contact information</w:t>
      </w:r>
    </w:p>
    <w:p w14:paraId="59B18984" w14:textId="580C6824"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Roles and responsibilities of the clinical research </w:t>
      </w:r>
      <w:r w:rsidR="00DD267E">
        <w:rPr>
          <w:rFonts w:ascii="Arial" w:hAnsi="Arial" w:cs="Arial"/>
        </w:rPr>
        <w:t>personnel</w:t>
      </w:r>
    </w:p>
    <w:p w14:paraId="59B18985"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Code of Federal Regulations</w:t>
      </w:r>
      <w:r w:rsidR="00973E30">
        <w:rPr>
          <w:rFonts w:ascii="Arial" w:hAnsi="Arial" w:cs="Arial"/>
        </w:rPr>
        <w:t xml:space="preserve"> (CFR)</w:t>
      </w:r>
    </w:p>
    <w:p w14:paraId="59B18986"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Declaration of Helsinki</w:t>
      </w:r>
    </w:p>
    <w:p w14:paraId="59B18987"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Belmont Report</w:t>
      </w:r>
    </w:p>
    <w:p w14:paraId="59B18988"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Nuremburg Code</w:t>
      </w:r>
    </w:p>
    <w:p w14:paraId="59B18989" w14:textId="77777777"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OSHA Universal Precautions </w:t>
      </w:r>
    </w:p>
    <w:p w14:paraId="59B1898A" w14:textId="75FF059F"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Core </w:t>
      </w:r>
      <w:r w:rsidR="00C1523C">
        <w:rPr>
          <w:rFonts w:ascii="Arial" w:hAnsi="Arial" w:cs="Arial"/>
        </w:rPr>
        <w:t>c</w:t>
      </w:r>
      <w:r w:rsidR="003E072F">
        <w:rPr>
          <w:rFonts w:ascii="Arial" w:hAnsi="Arial" w:cs="Arial"/>
        </w:rPr>
        <w:t>ompetencies (EC</w:t>
      </w:r>
      <w:r w:rsidRPr="004E4936">
        <w:rPr>
          <w:rFonts w:ascii="Arial" w:hAnsi="Arial" w:cs="Arial"/>
        </w:rPr>
        <w:t>G, phlebotomy, etc.)</w:t>
      </w:r>
    </w:p>
    <w:p w14:paraId="59B1898B" w14:textId="7BC68B05"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Informed Consent </w:t>
      </w:r>
      <w:r w:rsidR="00C1523C">
        <w:rPr>
          <w:rFonts w:ascii="Arial" w:hAnsi="Arial" w:cs="Arial"/>
        </w:rPr>
        <w:t>p</w:t>
      </w:r>
      <w:r w:rsidRPr="004E4936">
        <w:rPr>
          <w:rFonts w:ascii="Arial" w:hAnsi="Arial" w:cs="Arial"/>
        </w:rPr>
        <w:t xml:space="preserve">rocess and </w:t>
      </w:r>
      <w:r w:rsidR="00C1523C">
        <w:rPr>
          <w:rFonts w:ascii="Arial" w:hAnsi="Arial" w:cs="Arial"/>
        </w:rPr>
        <w:t>d</w:t>
      </w:r>
      <w:r w:rsidRPr="004E4936">
        <w:rPr>
          <w:rFonts w:ascii="Arial" w:hAnsi="Arial" w:cs="Arial"/>
        </w:rPr>
        <w:t>ocumentation</w:t>
      </w:r>
    </w:p>
    <w:p w14:paraId="59B1898C" w14:textId="0AD0319C" w:rsidR="004E4936" w:rsidRDefault="00A40BCC" w:rsidP="004E4936">
      <w:pPr>
        <w:pStyle w:val="ListParagraph"/>
        <w:numPr>
          <w:ilvl w:val="1"/>
          <w:numId w:val="35"/>
        </w:numPr>
        <w:tabs>
          <w:tab w:val="right" w:pos="8492"/>
        </w:tabs>
        <w:spacing w:after="0" w:line="240" w:lineRule="auto"/>
        <w:rPr>
          <w:rFonts w:ascii="Arial" w:hAnsi="Arial" w:cs="Arial"/>
        </w:rPr>
      </w:pPr>
      <w:r w:rsidRPr="004E4936">
        <w:rPr>
          <w:rFonts w:ascii="Arial" w:hAnsi="Arial" w:cs="Arial"/>
        </w:rPr>
        <w:t xml:space="preserve">Audits and </w:t>
      </w:r>
      <w:r w:rsidR="00C1523C">
        <w:rPr>
          <w:rFonts w:ascii="Arial" w:hAnsi="Arial" w:cs="Arial"/>
        </w:rPr>
        <w:t>i</w:t>
      </w:r>
      <w:r w:rsidRPr="004E4936">
        <w:rPr>
          <w:rFonts w:ascii="Arial" w:hAnsi="Arial" w:cs="Arial"/>
        </w:rPr>
        <w:t>nspections</w:t>
      </w:r>
    </w:p>
    <w:p w14:paraId="59B1898D" w14:textId="04E53BD3" w:rsidR="00A40BCC" w:rsidRDefault="00240840" w:rsidP="004E4936">
      <w:pPr>
        <w:pStyle w:val="ListParagraph"/>
        <w:numPr>
          <w:ilvl w:val="1"/>
          <w:numId w:val="35"/>
        </w:numPr>
        <w:tabs>
          <w:tab w:val="right" w:pos="8492"/>
        </w:tabs>
        <w:spacing w:after="0" w:line="240" w:lineRule="auto"/>
        <w:rPr>
          <w:rFonts w:ascii="Arial" w:hAnsi="Arial" w:cs="Arial"/>
        </w:rPr>
      </w:pPr>
      <w:r>
        <w:rPr>
          <w:rFonts w:ascii="Arial" w:hAnsi="Arial" w:cs="Arial"/>
        </w:rPr>
        <w:t>EPIC</w:t>
      </w:r>
      <w:r w:rsidR="004E4936">
        <w:rPr>
          <w:rFonts w:ascii="Arial" w:hAnsi="Arial" w:cs="Arial"/>
        </w:rPr>
        <w:t xml:space="preserve"> Scheduler </w:t>
      </w:r>
      <w:r w:rsidR="00C1523C">
        <w:rPr>
          <w:rFonts w:ascii="Arial" w:hAnsi="Arial" w:cs="Arial"/>
        </w:rPr>
        <w:t>t</w:t>
      </w:r>
      <w:r w:rsidR="00A40BCC" w:rsidRPr="004E4936">
        <w:rPr>
          <w:rFonts w:ascii="Arial" w:hAnsi="Arial" w:cs="Arial"/>
        </w:rPr>
        <w:t>raining</w:t>
      </w:r>
    </w:p>
    <w:p w14:paraId="59B1898F" w14:textId="77777777" w:rsidR="00973E30" w:rsidRDefault="00973E30" w:rsidP="00973E30">
      <w:pPr>
        <w:pStyle w:val="ListParagraph"/>
        <w:tabs>
          <w:tab w:val="right" w:pos="8492"/>
        </w:tabs>
        <w:spacing w:after="0" w:line="240" w:lineRule="auto"/>
        <w:ind w:left="1440"/>
        <w:rPr>
          <w:rFonts w:ascii="Arial" w:hAnsi="Arial" w:cs="Arial"/>
        </w:rPr>
      </w:pPr>
    </w:p>
    <w:p w14:paraId="0C1B2BFB" w14:textId="77777777" w:rsidR="00F71DC9" w:rsidRPr="004E4936" w:rsidRDefault="00F71DC9" w:rsidP="00973E30">
      <w:pPr>
        <w:pStyle w:val="ListParagraph"/>
        <w:tabs>
          <w:tab w:val="right" w:pos="8492"/>
        </w:tabs>
        <w:spacing w:after="0" w:line="240" w:lineRule="auto"/>
        <w:ind w:left="1440"/>
        <w:rPr>
          <w:rFonts w:ascii="Arial" w:hAnsi="Arial" w:cs="Arial"/>
        </w:rPr>
      </w:pPr>
    </w:p>
    <w:p w14:paraId="59B18991" w14:textId="77777777" w:rsidR="004E4936" w:rsidRDefault="00A40BCC" w:rsidP="00BD4997">
      <w:pPr>
        <w:pStyle w:val="ListParagraph"/>
        <w:numPr>
          <w:ilvl w:val="0"/>
          <w:numId w:val="34"/>
        </w:numPr>
        <w:tabs>
          <w:tab w:val="right" w:pos="8492"/>
        </w:tabs>
        <w:spacing w:after="0" w:line="240" w:lineRule="auto"/>
        <w:ind w:left="90"/>
        <w:rPr>
          <w:rFonts w:ascii="Arial" w:hAnsi="Arial" w:cs="Arial"/>
        </w:rPr>
      </w:pPr>
      <w:r w:rsidRPr="00447AAD">
        <w:rPr>
          <w:rFonts w:ascii="Arial" w:hAnsi="Arial" w:cs="Arial"/>
        </w:rPr>
        <w:t>Clinical Research Personnel will be trained on the S</w:t>
      </w:r>
      <w:r w:rsidR="00FD2511">
        <w:rPr>
          <w:rFonts w:ascii="Arial" w:hAnsi="Arial" w:cs="Arial"/>
        </w:rPr>
        <w:t>tandard Operating Procedures</w:t>
      </w:r>
      <w:r w:rsidRPr="00447AAD">
        <w:rPr>
          <w:rFonts w:ascii="Arial" w:hAnsi="Arial" w:cs="Arial"/>
        </w:rPr>
        <w:t xml:space="preserve"> prior to commencement of a</w:t>
      </w:r>
      <w:r w:rsidR="004E4936">
        <w:rPr>
          <w:rFonts w:ascii="Arial" w:hAnsi="Arial" w:cs="Arial"/>
        </w:rPr>
        <w:t>ny clinical research activities</w:t>
      </w:r>
      <w:r w:rsidR="00FD2511">
        <w:rPr>
          <w:rFonts w:ascii="Arial" w:hAnsi="Arial" w:cs="Arial"/>
        </w:rPr>
        <w:t xml:space="preserve"> at the CRC</w:t>
      </w:r>
      <w:r w:rsidR="004E4936">
        <w:rPr>
          <w:rFonts w:ascii="Arial" w:hAnsi="Arial" w:cs="Arial"/>
        </w:rPr>
        <w:t>.</w:t>
      </w:r>
    </w:p>
    <w:p w14:paraId="59B18992" w14:textId="77777777" w:rsidR="004E4936" w:rsidRDefault="004E4936" w:rsidP="004E4936">
      <w:pPr>
        <w:pStyle w:val="ListParagraph"/>
        <w:tabs>
          <w:tab w:val="right" w:pos="8492"/>
        </w:tabs>
        <w:spacing w:after="0" w:line="240" w:lineRule="auto"/>
        <w:rPr>
          <w:rFonts w:ascii="Arial" w:hAnsi="Arial" w:cs="Arial"/>
        </w:rPr>
      </w:pPr>
    </w:p>
    <w:p w14:paraId="59B18993" w14:textId="18F52D98" w:rsidR="00695355" w:rsidRPr="00695355" w:rsidRDefault="00A40BCC" w:rsidP="00520967">
      <w:pPr>
        <w:pStyle w:val="ListParagraph"/>
        <w:numPr>
          <w:ilvl w:val="1"/>
          <w:numId w:val="37"/>
        </w:numPr>
        <w:tabs>
          <w:tab w:val="right" w:pos="8492"/>
        </w:tabs>
        <w:spacing w:after="0" w:line="240" w:lineRule="auto"/>
        <w:ind w:left="1440" w:hanging="720"/>
        <w:rPr>
          <w:rFonts w:ascii="Arial" w:hAnsi="Arial" w:cs="Arial"/>
        </w:rPr>
      </w:pPr>
      <w:r w:rsidRPr="004E4936">
        <w:rPr>
          <w:rFonts w:ascii="Arial" w:hAnsi="Arial" w:cs="Arial"/>
        </w:rPr>
        <w:t>Training will be documented on th</w:t>
      </w:r>
      <w:r w:rsidR="006545F6">
        <w:rPr>
          <w:rFonts w:ascii="Arial" w:hAnsi="Arial" w:cs="Arial"/>
        </w:rPr>
        <w:t>e Rese</w:t>
      </w:r>
      <w:r w:rsidR="008D3133">
        <w:rPr>
          <w:rFonts w:ascii="Arial" w:hAnsi="Arial" w:cs="Arial"/>
        </w:rPr>
        <w:t>arch Personnel</w:t>
      </w:r>
      <w:r w:rsidR="006545F6">
        <w:rPr>
          <w:rFonts w:ascii="Arial" w:hAnsi="Arial" w:cs="Arial"/>
        </w:rPr>
        <w:t xml:space="preserve"> Training Log </w:t>
      </w:r>
      <w:r w:rsidR="006545F6" w:rsidRPr="00695355">
        <w:rPr>
          <w:rFonts w:ascii="Arial" w:hAnsi="Arial" w:cs="Arial"/>
        </w:rPr>
        <w:t xml:space="preserve">(Appendix </w:t>
      </w:r>
      <w:r w:rsidR="008D3133">
        <w:rPr>
          <w:rFonts w:ascii="Arial" w:hAnsi="Arial" w:cs="Arial"/>
        </w:rPr>
        <w:t>C</w:t>
      </w:r>
      <w:r w:rsidR="006545F6" w:rsidRPr="00695355">
        <w:rPr>
          <w:rFonts w:ascii="Arial" w:hAnsi="Arial" w:cs="Arial"/>
        </w:rPr>
        <w:t>)</w:t>
      </w:r>
    </w:p>
    <w:p w14:paraId="59B18994" w14:textId="6DE97A9D" w:rsidR="00A40BCC" w:rsidRPr="00FD2511" w:rsidRDefault="006545F6" w:rsidP="00520967">
      <w:pPr>
        <w:pStyle w:val="ListParagraph"/>
        <w:numPr>
          <w:ilvl w:val="1"/>
          <w:numId w:val="37"/>
        </w:numPr>
        <w:tabs>
          <w:tab w:val="right" w:pos="8492"/>
        </w:tabs>
        <w:spacing w:after="0" w:line="240" w:lineRule="auto"/>
        <w:ind w:left="1440" w:hanging="720"/>
        <w:rPr>
          <w:rFonts w:ascii="Arial" w:hAnsi="Arial" w:cs="Arial"/>
        </w:rPr>
      </w:pPr>
      <w:r>
        <w:rPr>
          <w:rFonts w:ascii="Arial" w:hAnsi="Arial" w:cs="Arial"/>
        </w:rPr>
        <w:t>The training l</w:t>
      </w:r>
      <w:r w:rsidR="00A40BCC" w:rsidRPr="00FD2511">
        <w:rPr>
          <w:rFonts w:ascii="Arial" w:hAnsi="Arial" w:cs="Arial"/>
        </w:rPr>
        <w:t xml:space="preserve">ogs will be kept </w:t>
      </w:r>
      <w:r w:rsidR="004E4936" w:rsidRPr="00FD2511">
        <w:rPr>
          <w:rFonts w:ascii="Arial" w:hAnsi="Arial" w:cs="Arial"/>
        </w:rPr>
        <w:t xml:space="preserve">in the employee file </w:t>
      </w:r>
      <w:r w:rsidR="004E4936" w:rsidRPr="008D3133">
        <w:rPr>
          <w:rFonts w:ascii="Arial" w:hAnsi="Arial" w:cs="Arial"/>
        </w:rPr>
        <w:t xml:space="preserve">within the </w:t>
      </w:r>
      <w:r w:rsidR="00A40BCC" w:rsidRPr="008D3133">
        <w:rPr>
          <w:rFonts w:ascii="Arial" w:hAnsi="Arial" w:cs="Arial"/>
        </w:rPr>
        <w:t>department.</w:t>
      </w:r>
      <w:r w:rsidR="00381661">
        <w:rPr>
          <w:rFonts w:ascii="Arial" w:hAnsi="Arial" w:cs="Arial"/>
        </w:rPr>
        <w:t xml:space="preserve"> </w:t>
      </w:r>
    </w:p>
    <w:p w14:paraId="145BAE60" w14:textId="77777777" w:rsidR="006A5B44" w:rsidRPr="00447AAD" w:rsidRDefault="006A5B44" w:rsidP="00973E30">
      <w:pPr>
        <w:autoSpaceDE w:val="0"/>
        <w:autoSpaceDN w:val="0"/>
        <w:adjustRightInd w:val="0"/>
        <w:spacing w:before="11" w:after="0" w:line="252" w:lineRule="auto"/>
        <w:ind w:left="-270" w:right="353"/>
        <w:rPr>
          <w:rFonts w:ascii="Arial" w:hAnsi="Arial" w:cs="Arial"/>
          <w:b/>
        </w:rPr>
      </w:pPr>
    </w:p>
    <w:p w14:paraId="59B1899E" w14:textId="57F8D6B3" w:rsidR="004E4936" w:rsidRDefault="00A40BCC" w:rsidP="00BD4997">
      <w:pPr>
        <w:pStyle w:val="ListParagraph"/>
        <w:numPr>
          <w:ilvl w:val="0"/>
          <w:numId w:val="34"/>
        </w:numPr>
        <w:autoSpaceDE w:val="0"/>
        <w:autoSpaceDN w:val="0"/>
        <w:adjustRightInd w:val="0"/>
        <w:spacing w:after="0" w:line="240" w:lineRule="auto"/>
        <w:ind w:left="90"/>
        <w:rPr>
          <w:rFonts w:ascii="Arial" w:hAnsi="Arial" w:cs="Arial"/>
        </w:rPr>
      </w:pPr>
      <w:r w:rsidRPr="00447AAD">
        <w:rPr>
          <w:rFonts w:ascii="Arial" w:hAnsi="Arial" w:cs="Arial"/>
        </w:rPr>
        <w:t xml:space="preserve">Required Training for Clinical Research </w:t>
      </w:r>
      <w:r w:rsidR="00DD267E">
        <w:rPr>
          <w:rFonts w:ascii="Arial" w:hAnsi="Arial" w:cs="Arial"/>
        </w:rPr>
        <w:t>Personnel</w:t>
      </w:r>
    </w:p>
    <w:p w14:paraId="6A09E075" w14:textId="77777777" w:rsidR="006A5B44" w:rsidRPr="00973E30" w:rsidRDefault="006A5B44" w:rsidP="006A5B44">
      <w:pPr>
        <w:pStyle w:val="ListParagraph"/>
        <w:autoSpaceDE w:val="0"/>
        <w:autoSpaceDN w:val="0"/>
        <w:adjustRightInd w:val="0"/>
        <w:spacing w:after="0" w:line="240" w:lineRule="auto"/>
        <w:rPr>
          <w:rFonts w:ascii="Arial" w:hAnsi="Arial" w:cs="Arial"/>
        </w:rPr>
      </w:pPr>
    </w:p>
    <w:p w14:paraId="3D7A2C1C" w14:textId="4484D9E7" w:rsidR="009956F1" w:rsidRDefault="00A40BCC" w:rsidP="00EE1A7E">
      <w:pPr>
        <w:pStyle w:val="ListParagraph"/>
        <w:numPr>
          <w:ilvl w:val="1"/>
          <w:numId w:val="38"/>
        </w:numPr>
        <w:autoSpaceDE w:val="0"/>
        <w:autoSpaceDN w:val="0"/>
        <w:adjustRightInd w:val="0"/>
        <w:spacing w:after="0" w:line="240" w:lineRule="auto"/>
        <w:ind w:left="1440" w:hanging="720"/>
        <w:rPr>
          <w:rFonts w:ascii="Arial" w:hAnsi="Arial" w:cs="Arial"/>
        </w:rPr>
      </w:pPr>
      <w:proofErr w:type="spellStart"/>
      <w:r w:rsidRPr="00F27339">
        <w:rPr>
          <w:rFonts w:ascii="Arial" w:hAnsi="Arial" w:cs="Arial"/>
        </w:rPr>
        <w:t>Bloodborne</w:t>
      </w:r>
      <w:proofErr w:type="spellEnd"/>
      <w:r w:rsidR="00C11B08" w:rsidRPr="00F27339">
        <w:rPr>
          <w:rFonts w:ascii="Arial" w:hAnsi="Arial" w:cs="Arial"/>
        </w:rPr>
        <w:t xml:space="preserve"> Pathogens (BBP</w:t>
      </w:r>
      <w:r w:rsidR="006A5B44" w:rsidRPr="00F27339">
        <w:rPr>
          <w:rFonts w:ascii="Arial" w:hAnsi="Arial" w:cs="Arial"/>
        </w:rPr>
        <w:t>)-</w:t>
      </w:r>
      <w:r w:rsidRPr="00F27339">
        <w:rPr>
          <w:rFonts w:ascii="Arial" w:hAnsi="Arial" w:cs="Arial"/>
        </w:rPr>
        <w:t xml:space="preserve"> Prevention and Management of Occupational Exposures </w:t>
      </w:r>
      <w:proofErr w:type="spellStart"/>
      <w:r w:rsidRPr="00F27339">
        <w:rPr>
          <w:rFonts w:ascii="Arial" w:hAnsi="Arial" w:cs="Arial"/>
        </w:rPr>
        <w:t>Biohazardous</w:t>
      </w:r>
      <w:proofErr w:type="spellEnd"/>
      <w:r w:rsidRPr="00F27339">
        <w:rPr>
          <w:rFonts w:ascii="Arial" w:hAnsi="Arial" w:cs="Arial"/>
        </w:rPr>
        <w:t xml:space="preserve"> Waste Education</w:t>
      </w:r>
      <w:r w:rsidR="00C11B08" w:rsidRPr="00F27339">
        <w:rPr>
          <w:rFonts w:ascii="Arial" w:hAnsi="Arial" w:cs="Arial"/>
        </w:rPr>
        <w:t xml:space="preserve">: </w:t>
      </w:r>
      <w:r w:rsidRPr="00F27339">
        <w:rPr>
          <w:rFonts w:ascii="Arial" w:hAnsi="Arial" w:cs="Arial"/>
        </w:rPr>
        <w:t xml:space="preserve">All </w:t>
      </w:r>
      <w:r w:rsidR="00DD267E" w:rsidRPr="00F27339">
        <w:rPr>
          <w:rFonts w:ascii="Arial" w:hAnsi="Arial" w:cs="Arial"/>
        </w:rPr>
        <w:t>personnel</w:t>
      </w:r>
      <w:r w:rsidRPr="00F27339">
        <w:rPr>
          <w:rFonts w:ascii="Arial" w:hAnsi="Arial" w:cs="Arial"/>
        </w:rPr>
        <w:t xml:space="preserve"> with a reasonable expectation of exposure to blood, body fluid, tissue or sharps must complete training within 90 days</w:t>
      </w:r>
      <w:r w:rsidR="008D3133" w:rsidRPr="00F27339">
        <w:rPr>
          <w:rFonts w:ascii="Arial" w:hAnsi="Arial" w:cs="Arial"/>
        </w:rPr>
        <w:t xml:space="preserve"> of acquiring said duties</w:t>
      </w:r>
      <w:r w:rsidRPr="00F27339">
        <w:rPr>
          <w:rFonts w:ascii="Arial" w:hAnsi="Arial" w:cs="Arial"/>
        </w:rPr>
        <w:t xml:space="preserve">. </w:t>
      </w:r>
      <w:r w:rsidR="00F27339">
        <w:rPr>
          <w:rFonts w:ascii="Arial" w:hAnsi="Arial" w:cs="Arial"/>
        </w:rPr>
        <w:t xml:space="preserve">Please visit USF Research </w:t>
      </w:r>
      <w:proofErr w:type="spellStart"/>
      <w:r w:rsidR="00F27339">
        <w:rPr>
          <w:rFonts w:ascii="Arial" w:hAnsi="Arial" w:cs="Arial"/>
        </w:rPr>
        <w:t>Intergrtiy</w:t>
      </w:r>
      <w:proofErr w:type="spellEnd"/>
      <w:r w:rsidR="00F27339">
        <w:rPr>
          <w:rFonts w:ascii="Arial" w:hAnsi="Arial" w:cs="Arial"/>
        </w:rPr>
        <w:t xml:space="preserve"> and Compliance </w:t>
      </w:r>
      <w:r w:rsidR="00180A0C">
        <w:rPr>
          <w:rFonts w:ascii="Arial" w:hAnsi="Arial" w:cs="Arial"/>
        </w:rPr>
        <w:t xml:space="preserve">website for further information on Biosafety training. </w:t>
      </w:r>
      <w:r w:rsidR="00F27339">
        <w:rPr>
          <w:rFonts w:ascii="Arial" w:hAnsi="Arial" w:cs="Arial"/>
        </w:rPr>
        <w:t xml:space="preserve"> </w:t>
      </w:r>
    </w:p>
    <w:p w14:paraId="689957B4" w14:textId="77777777" w:rsidR="00F27339" w:rsidRPr="00F27339" w:rsidRDefault="00F27339" w:rsidP="00F27339">
      <w:pPr>
        <w:autoSpaceDE w:val="0"/>
        <w:autoSpaceDN w:val="0"/>
        <w:adjustRightInd w:val="0"/>
        <w:spacing w:after="0" w:line="240" w:lineRule="auto"/>
        <w:ind w:left="720"/>
        <w:rPr>
          <w:rStyle w:val="Hyperlink"/>
          <w:rFonts w:ascii="Arial" w:hAnsi="Arial" w:cs="Arial"/>
          <w:color w:val="auto"/>
          <w:u w:val="none"/>
        </w:rPr>
      </w:pPr>
    </w:p>
    <w:p w14:paraId="59B189A1" w14:textId="0AA8912E" w:rsidR="00973E30" w:rsidRDefault="00A40BCC" w:rsidP="008D3133">
      <w:pPr>
        <w:pStyle w:val="ListParagraph"/>
        <w:numPr>
          <w:ilvl w:val="1"/>
          <w:numId w:val="38"/>
        </w:numPr>
        <w:tabs>
          <w:tab w:val="left" w:pos="1440"/>
        </w:tabs>
        <w:autoSpaceDE w:val="0"/>
        <w:autoSpaceDN w:val="0"/>
        <w:adjustRightInd w:val="0"/>
        <w:spacing w:after="0" w:line="240" w:lineRule="auto"/>
        <w:ind w:left="1440" w:hanging="720"/>
        <w:rPr>
          <w:rFonts w:ascii="Arial" w:hAnsi="Arial" w:cs="Arial"/>
        </w:rPr>
      </w:pPr>
      <w:r w:rsidRPr="00973E30">
        <w:rPr>
          <w:rFonts w:ascii="Arial" w:hAnsi="Arial" w:cs="Arial"/>
        </w:rPr>
        <w:lastRenderedPageBreak/>
        <w:t>Communicable Disease Scree</w:t>
      </w:r>
      <w:r w:rsidR="00C11B08" w:rsidRPr="00973E30">
        <w:rPr>
          <w:rFonts w:ascii="Arial" w:hAnsi="Arial" w:cs="Arial"/>
        </w:rPr>
        <w:t xml:space="preserve">ning &amp; Prevention Certification: </w:t>
      </w:r>
      <w:r w:rsidRPr="00973E30">
        <w:rPr>
          <w:rFonts w:ascii="Arial" w:hAnsi="Arial" w:cs="Arial"/>
        </w:rPr>
        <w:t xml:space="preserve"> All USF Health </w:t>
      </w:r>
      <w:r w:rsidR="00DD267E">
        <w:rPr>
          <w:rFonts w:ascii="Arial" w:hAnsi="Arial" w:cs="Arial"/>
        </w:rPr>
        <w:t>personnel</w:t>
      </w:r>
      <w:r w:rsidR="00973E30">
        <w:rPr>
          <w:rFonts w:ascii="Arial" w:hAnsi="Arial" w:cs="Arial"/>
        </w:rPr>
        <w:t xml:space="preserve"> with </w:t>
      </w:r>
      <w:r w:rsidRPr="00973E30">
        <w:rPr>
          <w:rFonts w:ascii="Arial" w:hAnsi="Arial" w:cs="Arial"/>
        </w:rPr>
        <w:t xml:space="preserve">face-to-face patient contact and/or will be involved in direct patient care must complete certification prior to seeing any patients and/or study subjects within the first two weeks of employment. Please contact </w:t>
      </w:r>
      <w:r w:rsidR="008D3133" w:rsidRPr="008D3133">
        <w:rPr>
          <w:rFonts w:ascii="Arial" w:hAnsi="Arial" w:cs="Arial"/>
        </w:rPr>
        <w:t>Associate Director, Medical Health Administration</w:t>
      </w:r>
      <w:r w:rsidR="008D3133">
        <w:rPr>
          <w:rFonts w:ascii="Arial" w:hAnsi="Arial" w:cs="Arial"/>
        </w:rPr>
        <w:t xml:space="preserve">, </w:t>
      </w:r>
      <w:r w:rsidR="008D3133" w:rsidRPr="008D3133">
        <w:rPr>
          <w:rFonts w:ascii="Arial" w:hAnsi="Arial" w:cs="Arial"/>
        </w:rPr>
        <w:t>Infection Prevention &amp; Control</w:t>
      </w:r>
      <w:r w:rsidR="008D3133">
        <w:rPr>
          <w:rFonts w:ascii="Arial" w:hAnsi="Arial" w:cs="Arial"/>
        </w:rPr>
        <w:t xml:space="preserve">, </w:t>
      </w:r>
      <w:r w:rsidR="008D3133" w:rsidRPr="008D3133">
        <w:rPr>
          <w:rFonts w:ascii="Arial" w:hAnsi="Arial" w:cs="Arial"/>
        </w:rPr>
        <w:t>Employee/Student Health &amp; Wellness</w:t>
      </w:r>
      <w:r w:rsidR="008D3133">
        <w:rPr>
          <w:rFonts w:ascii="Arial" w:hAnsi="Arial" w:cs="Arial"/>
        </w:rPr>
        <w:t xml:space="preserve"> </w:t>
      </w:r>
      <w:r w:rsidRPr="008D3133">
        <w:rPr>
          <w:rFonts w:ascii="Arial" w:hAnsi="Arial" w:cs="Arial"/>
        </w:rPr>
        <w:t>for information or to schedule a screening appointment.</w:t>
      </w:r>
    </w:p>
    <w:p w14:paraId="59B189A2" w14:textId="77777777" w:rsidR="00973E30" w:rsidRPr="00973E30" w:rsidRDefault="00973E30" w:rsidP="00973E30">
      <w:pPr>
        <w:autoSpaceDE w:val="0"/>
        <w:autoSpaceDN w:val="0"/>
        <w:adjustRightInd w:val="0"/>
        <w:spacing w:after="0" w:line="240" w:lineRule="auto"/>
        <w:rPr>
          <w:rFonts w:ascii="Arial" w:hAnsi="Arial" w:cs="Arial"/>
        </w:rPr>
      </w:pPr>
    </w:p>
    <w:p w14:paraId="59B189A4" w14:textId="6924F578" w:rsidR="00973E30" w:rsidRDefault="00C11B08" w:rsidP="00180A0C">
      <w:pPr>
        <w:pStyle w:val="ListParagraph"/>
        <w:numPr>
          <w:ilvl w:val="2"/>
          <w:numId w:val="38"/>
        </w:numPr>
        <w:autoSpaceDE w:val="0"/>
        <w:autoSpaceDN w:val="0"/>
        <w:adjustRightInd w:val="0"/>
        <w:spacing w:after="0" w:line="240" w:lineRule="auto"/>
        <w:rPr>
          <w:rFonts w:ascii="Arial" w:hAnsi="Arial" w:cs="Arial"/>
        </w:rPr>
      </w:pPr>
      <w:r w:rsidRPr="00180A0C">
        <w:rPr>
          <w:rFonts w:ascii="Arial" w:hAnsi="Arial" w:cs="Arial"/>
        </w:rPr>
        <w:t xml:space="preserve">HIPAA Training: </w:t>
      </w:r>
      <w:r w:rsidR="00A40BCC" w:rsidRPr="00180A0C">
        <w:rPr>
          <w:rFonts w:ascii="Arial" w:hAnsi="Arial" w:cs="Arial"/>
        </w:rPr>
        <w:t xml:space="preserve"> All clinical research </w:t>
      </w:r>
      <w:r w:rsidR="00DD267E" w:rsidRPr="00180A0C">
        <w:rPr>
          <w:rFonts w:ascii="Arial" w:hAnsi="Arial" w:cs="Arial"/>
        </w:rPr>
        <w:t>personnel</w:t>
      </w:r>
      <w:r w:rsidR="00A40BCC" w:rsidRPr="00180A0C">
        <w:rPr>
          <w:rFonts w:ascii="Arial" w:hAnsi="Arial" w:cs="Arial"/>
        </w:rPr>
        <w:t xml:space="preserve"> with either direct or indirect access to subjects or to their health information </w:t>
      </w:r>
      <w:r w:rsidR="00BB1000" w:rsidRPr="00180A0C">
        <w:rPr>
          <w:rFonts w:ascii="Arial" w:hAnsi="Arial" w:cs="Arial"/>
        </w:rPr>
        <w:t>is</w:t>
      </w:r>
      <w:r w:rsidR="00A40BCC" w:rsidRPr="00180A0C">
        <w:rPr>
          <w:rFonts w:ascii="Arial" w:hAnsi="Arial" w:cs="Arial"/>
        </w:rPr>
        <w:t xml:space="preserve"> required to take this one-time course prior to seeing any patients/study subjects and/or their health information. This includes access to computing systems which transmit, receive, create or store confidential patient information. </w:t>
      </w:r>
    </w:p>
    <w:p w14:paraId="604C5434" w14:textId="77777777" w:rsidR="00180A0C" w:rsidRPr="00180A0C" w:rsidRDefault="00180A0C" w:rsidP="00180A0C">
      <w:pPr>
        <w:pStyle w:val="ListParagraph"/>
        <w:autoSpaceDE w:val="0"/>
        <w:autoSpaceDN w:val="0"/>
        <w:adjustRightInd w:val="0"/>
        <w:spacing w:after="0" w:line="240" w:lineRule="auto"/>
        <w:ind w:left="1440"/>
        <w:rPr>
          <w:rStyle w:val="Hyperlink"/>
          <w:rFonts w:ascii="Arial" w:hAnsi="Arial" w:cs="Arial"/>
          <w:color w:val="auto"/>
          <w:u w:val="none"/>
        </w:rPr>
      </w:pPr>
    </w:p>
    <w:p w14:paraId="6D40DFB1" w14:textId="79D88CAC" w:rsidR="00BD3905" w:rsidRDefault="00A40BCC" w:rsidP="00180A0C">
      <w:pPr>
        <w:pStyle w:val="ListParagraph"/>
        <w:numPr>
          <w:ilvl w:val="1"/>
          <w:numId w:val="38"/>
        </w:numPr>
        <w:tabs>
          <w:tab w:val="left" w:pos="1440"/>
        </w:tabs>
        <w:autoSpaceDE w:val="0"/>
        <w:autoSpaceDN w:val="0"/>
        <w:adjustRightInd w:val="0"/>
        <w:spacing w:after="0" w:line="240" w:lineRule="auto"/>
        <w:ind w:left="1440" w:hanging="720"/>
        <w:rPr>
          <w:rFonts w:ascii="Arial" w:hAnsi="Arial" w:cs="Arial"/>
        </w:rPr>
      </w:pPr>
      <w:r w:rsidRPr="00973E30">
        <w:rPr>
          <w:rFonts w:ascii="Arial" w:hAnsi="Arial" w:cs="Arial"/>
        </w:rPr>
        <w:t>Human Research Subjects Protections Program (HRPP</w:t>
      </w:r>
      <w:r w:rsidR="00C11B08" w:rsidRPr="00973E30">
        <w:rPr>
          <w:rFonts w:ascii="Arial" w:hAnsi="Arial" w:cs="Arial"/>
        </w:rPr>
        <w:t>) Mandatory Education Training:</w:t>
      </w:r>
      <w:r w:rsidRPr="00973E30">
        <w:rPr>
          <w:rFonts w:ascii="Arial" w:hAnsi="Arial" w:cs="Arial"/>
        </w:rPr>
        <w:t xml:space="preserve">  All key study personnel (Investigators, Sub-Investigators, Research Coordinators, and </w:t>
      </w:r>
      <w:r w:rsidR="00DD267E">
        <w:rPr>
          <w:rFonts w:ascii="Arial" w:hAnsi="Arial" w:cs="Arial"/>
        </w:rPr>
        <w:t>personnel</w:t>
      </w:r>
      <w:r w:rsidRPr="00973E30">
        <w:rPr>
          <w:rFonts w:ascii="Arial" w:hAnsi="Arial" w:cs="Arial"/>
        </w:rPr>
        <w:t xml:space="preserve"> members)</w:t>
      </w:r>
      <w:r w:rsidR="004E4936" w:rsidRPr="00973E30">
        <w:rPr>
          <w:rFonts w:ascii="Arial" w:hAnsi="Arial" w:cs="Arial"/>
        </w:rPr>
        <w:t xml:space="preserve"> </w:t>
      </w:r>
      <w:r w:rsidRPr="00973E30">
        <w:rPr>
          <w:rFonts w:ascii="Arial" w:hAnsi="Arial" w:cs="Arial"/>
        </w:rPr>
        <w:t xml:space="preserve">are required to maintain this training.  Information is provided on the USF IRB </w:t>
      </w:r>
      <w:r w:rsidR="00180A0C">
        <w:rPr>
          <w:rFonts w:ascii="Arial" w:hAnsi="Arial" w:cs="Arial"/>
        </w:rPr>
        <w:t xml:space="preserve">and Research </w:t>
      </w:r>
      <w:proofErr w:type="spellStart"/>
      <w:r w:rsidR="00180A0C">
        <w:rPr>
          <w:rFonts w:ascii="Arial" w:hAnsi="Arial" w:cs="Arial"/>
        </w:rPr>
        <w:t>Integrrity</w:t>
      </w:r>
      <w:proofErr w:type="spellEnd"/>
      <w:r w:rsidR="00180A0C">
        <w:rPr>
          <w:rFonts w:ascii="Arial" w:hAnsi="Arial" w:cs="Arial"/>
        </w:rPr>
        <w:t xml:space="preserve"> and Compliance </w:t>
      </w:r>
      <w:r w:rsidRPr="00973E30">
        <w:rPr>
          <w:rFonts w:ascii="Arial" w:hAnsi="Arial" w:cs="Arial"/>
        </w:rPr>
        <w:t>website</w:t>
      </w:r>
      <w:r w:rsidR="00180A0C">
        <w:rPr>
          <w:rFonts w:ascii="Arial" w:hAnsi="Arial" w:cs="Arial"/>
        </w:rPr>
        <w:t xml:space="preserve">. </w:t>
      </w:r>
      <w:r w:rsidRPr="00973E30">
        <w:rPr>
          <w:rFonts w:ascii="Arial" w:hAnsi="Arial" w:cs="Arial"/>
        </w:rPr>
        <w:t xml:space="preserve"> </w:t>
      </w:r>
    </w:p>
    <w:p w14:paraId="499039D0" w14:textId="77777777" w:rsidR="00020285" w:rsidRPr="00973E30" w:rsidRDefault="00020285" w:rsidP="00020285">
      <w:pPr>
        <w:pStyle w:val="ListParagraph"/>
        <w:tabs>
          <w:tab w:val="left" w:pos="1440"/>
        </w:tabs>
        <w:autoSpaceDE w:val="0"/>
        <w:autoSpaceDN w:val="0"/>
        <w:adjustRightInd w:val="0"/>
        <w:spacing w:after="0" w:line="240" w:lineRule="auto"/>
        <w:ind w:left="1440"/>
        <w:rPr>
          <w:rFonts w:ascii="Arial" w:hAnsi="Arial" w:cs="Arial"/>
        </w:rPr>
      </w:pPr>
    </w:p>
    <w:p w14:paraId="632E7467" w14:textId="769D98C7" w:rsidR="00BD3905" w:rsidRPr="00180A0C" w:rsidRDefault="00A40BCC" w:rsidP="005D3ED8">
      <w:pPr>
        <w:pStyle w:val="ListParagraph"/>
        <w:numPr>
          <w:ilvl w:val="1"/>
          <w:numId w:val="38"/>
        </w:numPr>
        <w:autoSpaceDE w:val="0"/>
        <w:autoSpaceDN w:val="0"/>
        <w:adjustRightInd w:val="0"/>
        <w:spacing w:after="0" w:line="240" w:lineRule="auto"/>
        <w:ind w:left="1440" w:hanging="720"/>
        <w:rPr>
          <w:rStyle w:val="Hyperlink"/>
          <w:rFonts w:ascii="Arial" w:hAnsi="Arial" w:cs="Arial"/>
          <w:color w:val="auto"/>
          <w:u w:val="none"/>
        </w:rPr>
      </w:pPr>
      <w:r w:rsidRPr="00180A0C">
        <w:rPr>
          <w:rFonts w:ascii="Arial" w:hAnsi="Arial" w:cs="Arial"/>
        </w:rPr>
        <w:t>USF Division of Research Integrity and Compliance (DRIC) Biosafe</w:t>
      </w:r>
      <w:r w:rsidR="00C11B08" w:rsidRPr="00180A0C">
        <w:rPr>
          <w:rFonts w:ascii="Arial" w:hAnsi="Arial" w:cs="Arial"/>
        </w:rPr>
        <w:t xml:space="preserve">ty Training Course: </w:t>
      </w:r>
      <w:r w:rsidRPr="00180A0C">
        <w:rPr>
          <w:rFonts w:ascii="Arial" w:hAnsi="Arial" w:cs="Arial"/>
        </w:rPr>
        <w:t xml:space="preserve"> All study personnel who ship and/or receive </w:t>
      </w:r>
      <w:proofErr w:type="spellStart"/>
      <w:r w:rsidRPr="00180A0C">
        <w:rPr>
          <w:rFonts w:ascii="Arial" w:hAnsi="Arial" w:cs="Arial"/>
        </w:rPr>
        <w:t>biohazardous</w:t>
      </w:r>
      <w:proofErr w:type="spellEnd"/>
      <w:r w:rsidRPr="00180A0C">
        <w:rPr>
          <w:rFonts w:ascii="Arial" w:hAnsi="Arial" w:cs="Arial"/>
        </w:rPr>
        <w:t xml:space="preserve"> materials must complete this training </w:t>
      </w:r>
      <w:r w:rsidR="00254C9F" w:rsidRPr="00180A0C">
        <w:rPr>
          <w:rFonts w:ascii="Arial" w:hAnsi="Arial" w:cs="Arial"/>
        </w:rPr>
        <w:t>c</w:t>
      </w:r>
      <w:r w:rsidRPr="00180A0C">
        <w:rPr>
          <w:rFonts w:ascii="Arial" w:hAnsi="Arial" w:cs="Arial"/>
        </w:rPr>
        <w:t xml:space="preserve">ourse and continuing education required at USF within 90 days of hire.  </w:t>
      </w:r>
    </w:p>
    <w:p w14:paraId="59B189A8" w14:textId="77777777" w:rsidR="00973E30" w:rsidRPr="00973E30" w:rsidRDefault="00973E30" w:rsidP="00973E30">
      <w:pPr>
        <w:pStyle w:val="ListParagraph"/>
        <w:rPr>
          <w:rFonts w:ascii="Arial" w:hAnsi="Arial" w:cs="Arial"/>
        </w:rPr>
      </w:pPr>
    </w:p>
    <w:p w14:paraId="59B189AA" w14:textId="2618D53A" w:rsidR="00973E30" w:rsidRDefault="00240840" w:rsidP="00B5439F">
      <w:pPr>
        <w:pStyle w:val="ListParagraph"/>
        <w:numPr>
          <w:ilvl w:val="1"/>
          <w:numId w:val="38"/>
        </w:numPr>
        <w:autoSpaceDE w:val="0"/>
        <w:autoSpaceDN w:val="0"/>
        <w:adjustRightInd w:val="0"/>
        <w:spacing w:after="0" w:line="240" w:lineRule="auto"/>
        <w:ind w:left="1440" w:hanging="720"/>
        <w:rPr>
          <w:rFonts w:ascii="Arial" w:hAnsi="Arial" w:cs="Arial"/>
        </w:rPr>
      </w:pPr>
      <w:r>
        <w:rPr>
          <w:rFonts w:ascii="Arial" w:hAnsi="Arial" w:cs="Arial"/>
        </w:rPr>
        <w:t>EPIC</w:t>
      </w:r>
      <w:r w:rsidR="00C11B08" w:rsidRPr="00180A0C">
        <w:rPr>
          <w:rFonts w:ascii="Arial" w:hAnsi="Arial" w:cs="Arial"/>
        </w:rPr>
        <w:t xml:space="preserve"> Scheduler Training: </w:t>
      </w:r>
      <w:r w:rsidR="00A40BCC" w:rsidRPr="00180A0C">
        <w:rPr>
          <w:rFonts w:ascii="Arial" w:hAnsi="Arial" w:cs="Arial"/>
        </w:rPr>
        <w:t xml:space="preserve"> Required for all research </w:t>
      </w:r>
      <w:r w:rsidR="00DD267E" w:rsidRPr="00180A0C">
        <w:rPr>
          <w:rFonts w:ascii="Arial" w:hAnsi="Arial" w:cs="Arial"/>
        </w:rPr>
        <w:t>personnel</w:t>
      </w:r>
      <w:r w:rsidR="00A40BCC" w:rsidRPr="00180A0C">
        <w:rPr>
          <w:rFonts w:ascii="Arial" w:hAnsi="Arial" w:cs="Arial"/>
        </w:rPr>
        <w:t xml:space="preserve"> responsible for scheduling resear</w:t>
      </w:r>
      <w:r w:rsidR="00180A0C" w:rsidRPr="00180A0C">
        <w:rPr>
          <w:rFonts w:ascii="Arial" w:hAnsi="Arial" w:cs="Arial"/>
        </w:rPr>
        <w:t xml:space="preserve">ch study visits in the CRC. </w:t>
      </w:r>
    </w:p>
    <w:p w14:paraId="02E4B806" w14:textId="77777777" w:rsidR="00180A0C" w:rsidRPr="00180A0C" w:rsidRDefault="00180A0C" w:rsidP="00180A0C">
      <w:pPr>
        <w:autoSpaceDE w:val="0"/>
        <w:autoSpaceDN w:val="0"/>
        <w:adjustRightInd w:val="0"/>
        <w:spacing w:after="0" w:line="240" w:lineRule="auto"/>
        <w:rPr>
          <w:rStyle w:val="Hyperlink"/>
          <w:rFonts w:ascii="Arial" w:hAnsi="Arial" w:cs="Arial"/>
          <w:color w:val="auto"/>
          <w:u w:val="none"/>
        </w:rPr>
      </w:pPr>
    </w:p>
    <w:p w14:paraId="59B189AB" w14:textId="76409AAA" w:rsidR="00A40BCC" w:rsidRPr="001E4934" w:rsidRDefault="00A40BCC" w:rsidP="00520967">
      <w:pPr>
        <w:pStyle w:val="ListParagraph"/>
        <w:numPr>
          <w:ilvl w:val="1"/>
          <w:numId w:val="38"/>
        </w:numPr>
        <w:tabs>
          <w:tab w:val="left" w:pos="1440"/>
        </w:tabs>
        <w:autoSpaceDE w:val="0"/>
        <w:autoSpaceDN w:val="0"/>
        <w:adjustRightInd w:val="0"/>
        <w:spacing w:after="0" w:line="240" w:lineRule="auto"/>
        <w:ind w:left="1440" w:hanging="720"/>
        <w:rPr>
          <w:rStyle w:val="Hyperlink"/>
          <w:rFonts w:ascii="Arial" w:hAnsi="Arial" w:cs="Arial"/>
          <w:color w:val="auto"/>
          <w:u w:val="none"/>
        </w:rPr>
      </w:pPr>
      <w:r w:rsidRPr="00973E30">
        <w:rPr>
          <w:rStyle w:val="Hyperlink"/>
          <w:rFonts w:ascii="Arial" w:hAnsi="Arial" w:cs="Arial"/>
          <w:color w:val="auto"/>
          <w:u w:val="none"/>
        </w:rPr>
        <w:t>Responsible Conduct of Research (RCR)</w:t>
      </w:r>
      <w:r w:rsidR="00C11B08" w:rsidRPr="00973E30">
        <w:rPr>
          <w:rStyle w:val="Hyperlink"/>
          <w:rFonts w:ascii="Arial" w:hAnsi="Arial" w:cs="Arial"/>
          <w:color w:val="auto"/>
          <w:u w:val="none"/>
        </w:rPr>
        <w:t xml:space="preserve">: </w:t>
      </w:r>
      <w:r w:rsidRPr="00973E30">
        <w:rPr>
          <w:rStyle w:val="Hyperlink"/>
          <w:rFonts w:ascii="Arial" w:hAnsi="Arial" w:cs="Arial"/>
          <w:color w:val="auto"/>
          <w:u w:val="none"/>
        </w:rPr>
        <w:t xml:space="preserve"> </w:t>
      </w:r>
      <w:proofErr w:type="spellStart"/>
      <w:r w:rsidR="00E90756">
        <w:rPr>
          <w:rStyle w:val="Hyperlink"/>
          <w:rFonts w:ascii="Arial" w:hAnsi="Arial" w:cs="Arial"/>
          <w:color w:val="auto"/>
          <w:u w:val="none"/>
        </w:rPr>
        <w:t>RCR</w:t>
      </w:r>
      <w:r w:rsidRPr="00973E30">
        <w:rPr>
          <w:rStyle w:val="Hyperlink"/>
          <w:rFonts w:ascii="Arial" w:hAnsi="Arial" w:cs="Arial"/>
          <w:color w:val="auto"/>
          <w:u w:val="none"/>
        </w:rPr>
        <w:t>Training</w:t>
      </w:r>
      <w:proofErr w:type="spellEnd"/>
      <w:r w:rsidRPr="00973E30">
        <w:rPr>
          <w:rStyle w:val="Hyperlink"/>
          <w:rFonts w:ascii="Arial" w:hAnsi="Arial" w:cs="Arial"/>
          <w:color w:val="auto"/>
          <w:u w:val="none"/>
        </w:rPr>
        <w:t xml:space="preserve"> is required for undergraduate and graduate students and post-doctoral research fellows supported on National Science Foundation (NSF) funded projects only. Training is required prior</w:t>
      </w:r>
      <w:r w:rsidR="00C11B08" w:rsidRPr="00973E30">
        <w:rPr>
          <w:rStyle w:val="Hyperlink"/>
          <w:rFonts w:ascii="Arial" w:hAnsi="Arial" w:cs="Arial"/>
          <w:color w:val="auto"/>
          <w:u w:val="none"/>
        </w:rPr>
        <w:t xml:space="preserve"> to </w:t>
      </w:r>
      <w:r w:rsidRPr="00973E30">
        <w:rPr>
          <w:rStyle w:val="Hyperlink"/>
          <w:rFonts w:ascii="Arial" w:hAnsi="Arial" w:cs="Arial"/>
          <w:color w:val="auto"/>
          <w:u w:val="none"/>
        </w:rPr>
        <w:t xml:space="preserve">submission of NSF proposal and can be accessed at: </w:t>
      </w:r>
      <w:hyperlink r:id="rId17" w:history="1">
        <w:r w:rsidRPr="00973E30">
          <w:rPr>
            <w:rStyle w:val="Hyperlink"/>
            <w:rFonts w:ascii="Arial" w:hAnsi="Arial" w:cs="Arial"/>
          </w:rPr>
          <w:t>https://www.citiprogram.org</w:t>
        </w:r>
      </w:hyperlink>
    </w:p>
    <w:p w14:paraId="71306C1A" w14:textId="77777777" w:rsidR="001E4934" w:rsidRPr="001E4934" w:rsidRDefault="001E4934" w:rsidP="001E4934">
      <w:pPr>
        <w:pStyle w:val="ListParagraph"/>
        <w:tabs>
          <w:tab w:val="left" w:pos="1440"/>
        </w:tabs>
        <w:autoSpaceDE w:val="0"/>
        <w:autoSpaceDN w:val="0"/>
        <w:adjustRightInd w:val="0"/>
        <w:spacing w:after="0" w:line="240" w:lineRule="auto"/>
        <w:ind w:left="1440"/>
        <w:rPr>
          <w:rStyle w:val="Hyperlink"/>
          <w:rFonts w:ascii="Arial" w:hAnsi="Arial" w:cs="Arial"/>
          <w:color w:val="auto"/>
          <w:u w:val="none"/>
        </w:rPr>
      </w:pPr>
    </w:p>
    <w:p w14:paraId="4B77715B" w14:textId="0C3C94EB" w:rsidR="001E4934" w:rsidRDefault="001E4934" w:rsidP="001E4934">
      <w:pPr>
        <w:pStyle w:val="ListParagraph"/>
        <w:numPr>
          <w:ilvl w:val="1"/>
          <w:numId w:val="38"/>
        </w:numPr>
        <w:tabs>
          <w:tab w:val="left" w:pos="1440"/>
        </w:tabs>
        <w:autoSpaceDE w:val="0"/>
        <w:autoSpaceDN w:val="0"/>
        <w:adjustRightInd w:val="0"/>
        <w:spacing w:after="0" w:line="240" w:lineRule="auto"/>
        <w:ind w:left="1440" w:hanging="720"/>
        <w:rPr>
          <w:rFonts w:ascii="Arial" w:hAnsi="Arial" w:cs="Arial"/>
        </w:rPr>
      </w:pPr>
      <w:r w:rsidRPr="001E4934">
        <w:rPr>
          <w:rFonts w:ascii="Arial" w:hAnsi="Arial" w:cs="Arial"/>
        </w:rPr>
        <w:t>Interest Inventory for PHS Funded Research: All investigators who are funded by or anticipate funding by PHS and Certain Federal Agencies, Foundations or Extramural Sponsors are required to complete an interest inventory</w:t>
      </w:r>
      <w:r>
        <w:rPr>
          <w:rFonts w:ascii="Arial" w:hAnsi="Arial" w:cs="Arial"/>
        </w:rPr>
        <w:t xml:space="preserve"> located with</w:t>
      </w:r>
      <w:r w:rsidRPr="001E4934">
        <w:rPr>
          <w:rFonts w:ascii="Arial" w:hAnsi="Arial" w:cs="Arial"/>
        </w:rPr>
        <w:t>in the arc system</w:t>
      </w:r>
      <w:r w:rsidR="00F95D12">
        <w:rPr>
          <w:rFonts w:ascii="Arial" w:hAnsi="Arial" w:cs="Arial"/>
        </w:rPr>
        <w:t xml:space="preserve">. The form provides information </w:t>
      </w:r>
      <w:r>
        <w:rPr>
          <w:rFonts w:ascii="Arial" w:hAnsi="Arial" w:cs="Arial"/>
        </w:rPr>
        <w:t xml:space="preserve">on </w:t>
      </w:r>
      <w:r w:rsidRPr="001E4934">
        <w:rPr>
          <w:rFonts w:ascii="Arial" w:hAnsi="Arial" w:cs="Arial"/>
        </w:rPr>
        <w:t>disclosure of applicable interest</w:t>
      </w:r>
      <w:r>
        <w:rPr>
          <w:rFonts w:ascii="Arial" w:hAnsi="Arial" w:cs="Arial"/>
        </w:rPr>
        <w:t>s and their relationship to</w:t>
      </w:r>
      <w:r w:rsidRPr="001E4934">
        <w:rPr>
          <w:rFonts w:ascii="Arial" w:hAnsi="Arial" w:cs="Arial"/>
        </w:rPr>
        <w:t xml:space="preserve"> institutional responsibilities as well as any currently required training. </w:t>
      </w:r>
    </w:p>
    <w:p w14:paraId="59B189AD" w14:textId="512335D0" w:rsidR="00A40BCC" w:rsidRPr="001E4934" w:rsidRDefault="00A40BCC" w:rsidP="001E4934">
      <w:pPr>
        <w:pStyle w:val="ListParagraph"/>
        <w:tabs>
          <w:tab w:val="left" w:pos="1440"/>
        </w:tabs>
        <w:autoSpaceDE w:val="0"/>
        <w:autoSpaceDN w:val="0"/>
        <w:adjustRightInd w:val="0"/>
        <w:spacing w:after="0" w:line="240" w:lineRule="auto"/>
        <w:ind w:left="1440"/>
        <w:rPr>
          <w:rFonts w:ascii="Arial" w:hAnsi="Arial" w:cs="Arial"/>
          <w:sz w:val="20"/>
          <w:szCs w:val="20"/>
        </w:rPr>
      </w:pPr>
    </w:p>
    <w:p w14:paraId="2F4CC582" w14:textId="77777777" w:rsidR="001E4934" w:rsidRPr="001E4934" w:rsidRDefault="001E4934" w:rsidP="001E4934">
      <w:pPr>
        <w:pStyle w:val="ListParagraph"/>
        <w:tabs>
          <w:tab w:val="left" w:pos="1440"/>
        </w:tabs>
        <w:autoSpaceDE w:val="0"/>
        <w:autoSpaceDN w:val="0"/>
        <w:adjustRightInd w:val="0"/>
        <w:spacing w:after="0" w:line="240" w:lineRule="auto"/>
        <w:ind w:left="1440"/>
        <w:rPr>
          <w:rFonts w:ascii="Arial" w:hAnsi="Arial" w:cs="Arial"/>
        </w:rPr>
      </w:pPr>
    </w:p>
    <w:p w14:paraId="59B189AE" w14:textId="77777777" w:rsidR="00A40BCC" w:rsidRDefault="00A40BCC" w:rsidP="00A76057">
      <w:pPr>
        <w:spacing w:after="0" w:line="240" w:lineRule="auto"/>
        <w:ind w:left="-270"/>
        <w:rPr>
          <w:rFonts w:ascii="Arial" w:hAnsi="Arial" w:cs="Arial"/>
          <w:b/>
          <w:sz w:val="20"/>
          <w:szCs w:val="20"/>
        </w:rPr>
      </w:pPr>
    </w:p>
    <w:p w14:paraId="59B189AF" w14:textId="77777777" w:rsidR="00973E30" w:rsidRDefault="00973E30" w:rsidP="00A76057">
      <w:pPr>
        <w:spacing w:after="0" w:line="240" w:lineRule="auto"/>
        <w:ind w:left="-270"/>
        <w:rPr>
          <w:rFonts w:ascii="Arial" w:hAnsi="Arial" w:cs="Arial"/>
          <w:b/>
          <w:sz w:val="20"/>
          <w:szCs w:val="20"/>
        </w:rPr>
      </w:pPr>
    </w:p>
    <w:p w14:paraId="59B189B0" w14:textId="77777777" w:rsidR="00973E30" w:rsidRDefault="00973E30" w:rsidP="00A76057">
      <w:pPr>
        <w:spacing w:after="0" w:line="240" w:lineRule="auto"/>
        <w:ind w:left="-270"/>
        <w:rPr>
          <w:rFonts w:ascii="Arial" w:hAnsi="Arial" w:cs="Arial"/>
          <w:b/>
          <w:sz w:val="20"/>
          <w:szCs w:val="20"/>
        </w:rPr>
      </w:pPr>
    </w:p>
    <w:p w14:paraId="59B189B1" w14:textId="77777777" w:rsidR="00973E30" w:rsidRDefault="00973E30" w:rsidP="00A76057">
      <w:pPr>
        <w:spacing w:after="0" w:line="240" w:lineRule="auto"/>
        <w:ind w:left="-270"/>
        <w:rPr>
          <w:rFonts w:ascii="Arial" w:hAnsi="Arial" w:cs="Arial"/>
          <w:b/>
          <w:sz w:val="20"/>
          <w:szCs w:val="20"/>
        </w:rPr>
      </w:pPr>
    </w:p>
    <w:p w14:paraId="0972E506" w14:textId="77777777" w:rsidR="00F71DC9" w:rsidRDefault="00F71DC9" w:rsidP="00973E30">
      <w:pPr>
        <w:spacing w:after="0" w:line="240" w:lineRule="auto"/>
        <w:rPr>
          <w:rFonts w:ascii="Arial" w:hAnsi="Arial" w:cs="Arial"/>
          <w:b/>
          <w:sz w:val="20"/>
          <w:szCs w:val="20"/>
        </w:rPr>
      </w:pPr>
    </w:p>
    <w:p w14:paraId="17C8CA6F" w14:textId="77777777" w:rsidR="00F71DC9" w:rsidRDefault="00F71DC9" w:rsidP="00973E30">
      <w:pPr>
        <w:spacing w:after="0" w:line="240" w:lineRule="auto"/>
        <w:rPr>
          <w:rFonts w:ascii="Arial" w:hAnsi="Arial" w:cs="Arial"/>
          <w:b/>
          <w:sz w:val="20"/>
          <w:szCs w:val="20"/>
        </w:rPr>
      </w:pPr>
    </w:p>
    <w:p w14:paraId="0737057A" w14:textId="77777777" w:rsidR="00F71DC9" w:rsidRDefault="00F71DC9" w:rsidP="00973E30">
      <w:pPr>
        <w:spacing w:after="0" w:line="240" w:lineRule="auto"/>
        <w:rPr>
          <w:rFonts w:ascii="Arial" w:hAnsi="Arial" w:cs="Arial"/>
          <w:b/>
          <w:sz w:val="20"/>
          <w:szCs w:val="20"/>
        </w:rPr>
      </w:pPr>
    </w:p>
    <w:p w14:paraId="59B189BC" w14:textId="77777777" w:rsidR="00973E30" w:rsidRPr="00353B53" w:rsidRDefault="00973E30" w:rsidP="00A76057">
      <w:pPr>
        <w:spacing w:after="0" w:line="240" w:lineRule="auto"/>
        <w:ind w:left="-270"/>
        <w:rPr>
          <w:rFonts w:ascii="Arial" w:hAnsi="Arial" w:cs="Arial"/>
          <w:b/>
          <w:sz w:val="20"/>
          <w:szCs w:val="20"/>
        </w:rPr>
      </w:pPr>
    </w:p>
    <w:tbl>
      <w:tblPr>
        <w:tblpPr w:leftFromText="180" w:rightFromText="180" w:vertAnchor="text" w:horzAnchor="margin" w:tblpX="-255" w:tblpY="233"/>
        <w:tblW w:w="9455" w:type="dxa"/>
        <w:tblLayout w:type="fixed"/>
        <w:tblCellMar>
          <w:left w:w="0" w:type="dxa"/>
          <w:right w:w="0" w:type="dxa"/>
        </w:tblCellMar>
        <w:tblLook w:val="0000" w:firstRow="0" w:lastRow="0" w:firstColumn="0" w:lastColumn="0" w:noHBand="0" w:noVBand="0"/>
      </w:tblPr>
      <w:tblGrid>
        <w:gridCol w:w="2525"/>
        <w:gridCol w:w="6930"/>
      </w:tblGrid>
      <w:tr w:rsidR="008B058A" w:rsidRPr="00FA6586" w14:paraId="59B189BF" w14:textId="77777777" w:rsidTr="00381661">
        <w:trPr>
          <w:trHeight w:hRule="exact" w:val="463"/>
        </w:trPr>
        <w:tc>
          <w:tcPr>
            <w:tcW w:w="2525" w:type="dxa"/>
            <w:tcBorders>
              <w:top w:val="single" w:sz="4" w:space="0" w:color="000000"/>
              <w:left w:val="single" w:sz="4" w:space="0" w:color="000000"/>
              <w:bottom w:val="single" w:sz="4" w:space="0" w:color="000000"/>
              <w:right w:val="single" w:sz="4" w:space="0" w:color="000000"/>
            </w:tcBorders>
          </w:tcPr>
          <w:p w14:paraId="59B189BD" w14:textId="77777777" w:rsidR="008B058A" w:rsidRPr="001A559D" w:rsidRDefault="008B058A" w:rsidP="007A1B38">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6930" w:type="dxa"/>
            <w:tcBorders>
              <w:top w:val="single" w:sz="4" w:space="0" w:color="000000"/>
              <w:left w:val="single" w:sz="4" w:space="0" w:color="000000"/>
              <w:bottom w:val="single" w:sz="4" w:space="0" w:color="000000"/>
              <w:right w:val="single" w:sz="4" w:space="0" w:color="000000"/>
            </w:tcBorders>
          </w:tcPr>
          <w:p w14:paraId="59B189BE" w14:textId="77777777" w:rsidR="008B058A" w:rsidRPr="00DD267E" w:rsidRDefault="005D360A" w:rsidP="007A1B38">
            <w:pPr>
              <w:autoSpaceDE w:val="0"/>
              <w:autoSpaceDN w:val="0"/>
              <w:adjustRightInd w:val="0"/>
              <w:spacing w:before="4" w:after="0" w:line="240" w:lineRule="auto"/>
              <w:ind w:right="-20"/>
              <w:rPr>
                <w:rFonts w:ascii="Arial" w:hAnsi="Arial" w:cs="Arial"/>
                <w:sz w:val="20"/>
                <w:szCs w:val="20"/>
              </w:rPr>
            </w:pPr>
            <w:r w:rsidRPr="00DD267E">
              <w:rPr>
                <w:rFonts w:ascii="Arial" w:hAnsi="Arial" w:cs="Arial"/>
                <w:sz w:val="20"/>
                <w:szCs w:val="20"/>
              </w:rPr>
              <w:t xml:space="preserve">21 CFR 312; 45 CFR 46; </w:t>
            </w:r>
            <w:r w:rsidR="00897EDE" w:rsidRPr="00DD267E">
              <w:rPr>
                <w:rFonts w:ascii="Arial" w:hAnsi="Arial" w:cs="Arial"/>
                <w:sz w:val="20"/>
                <w:szCs w:val="20"/>
              </w:rPr>
              <w:t>ICH and GCP Guidelines 2.8</w:t>
            </w:r>
            <w:r w:rsidR="00973E30" w:rsidRPr="00DD267E">
              <w:rPr>
                <w:rFonts w:ascii="Arial" w:hAnsi="Arial" w:cs="Arial"/>
                <w:sz w:val="20"/>
                <w:szCs w:val="20"/>
              </w:rPr>
              <w:t>, 4.1.3</w:t>
            </w:r>
          </w:p>
        </w:tc>
      </w:tr>
      <w:tr w:rsidR="008B058A" w:rsidRPr="00FA6586" w14:paraId="59B189C2" w14:textId="77777777" w:rsidTr="00381661">
        <w:trPr>
          <w:trHeight w:hRule="exact" w:val="256"/>
        </w:trPr>
        <w:tc>
          <w:tcPr>
            <w:tcW w:w="2525" w:type="dxa"/>
            <w:tcBorders>
              <w:top w:val="single" w:sz="4" w:space="0" w:color="000000"/>
              <w:left w:val="single" w:sz="4" w:space="0" w:color="000000"/>
              <w:bottom w:val="single" w:sz="4" w:space="0" w:color="000000"/>
              <w:right w:val="single" w:sz="4" w:space="0" w:color="000000"/>
            </w:tcBorders>
          </w:tcPr>
          <w:p w14:paraId="59B189C0" w14:textId="77777777" w:rsidR="008B058A" w:rsidRPr="001A559D" w:rsidRDefault="008B058A" w:rsidP="007A1B38">
            <w:pPr>
              <w:autoSpaceDE w:val="0"/>
              <w:autoSpaceDN w:val="0"/>
              <w:adjustRightInd w:val="0"/>
              <w:spacing w:after="0" w:line="240" w:lineRule="auto"/>
              <w:rPr>
                <w:rFonts w:ascii="Arial" w:hAnsi="Arial" w:cs="Arial"/>
              </w:rPr>
            </w:pPr>
          </w:p>
        </w:tc>
        <w:tc>
          <w:tcPr>
            <w:tcW w:w="6930" w:type="dxa"/>
            <w:tcBorders>
              <w:top w:val="single" w:sz="4" w:space="0" w:color="000000"/>
              <w:left w:val="single" w:sz="4" w:space="0" w:color="000000"/>
              <w:bottom w:val="single" w:sz="4" w:space="0" w:color="000000"/>
              <w:right w:val="single" w:sz="4" w:space="0" w:color="000000"/>
            </w:tcBorders>
          </w:tcPr>
          <w:p w14:paraId="59B189C1" w14:textId="77777777" w:rsidR="008B058A" w:rsidRPr="001A559D" w:rsidRDefault="008B058A" w:rsidP="007A1B38">
            <w:pPr>
              <w:autoSpaceDE w:val="0"/>
              <w:autoSpaceDN w:val="0"/>
              <w:adjustRightInd w:val="0"/>
              <w:spacing w:after="0" w:line="240" w:lineRule="auto"/>
              <w:rPr>
                <w:rFonts w:ascii="Arial" w:hAnsi="Arial" w:cs="Arial"/>
              </w:rPr>
            </w:pPr>
          </w:p>
        </w:tc>
      </w:tr>
      <w:tr w:rsidR="008B058A" w:rsidRPr="00FA6586" w14:paraId="59B189C7" w14:textId="77777777" w:rsidTr="00381661">
        <w:trPr>
          <w:trHeight w:hRule="exact" w:val="913"/>
        </w:trPr>
        <w:tc>
          <w:tcPr>
            <w:tcW w:w="2525" w:type="dxa"/>
            <w:tcBorders>
              <w:top w:val="single" w:sz="4" w:space="0" w:color="000000"/>
              <w:left w:val="single" w:sz="4" w:space="0" w:color="000000"/>
              <w:bottom w:val="single" w:sz="4" w:space="0" w:color="000000"/>
              <w:right w:val="single" w:sz="4" w:space="0" w:color="000000"/>
            </w:tcBorders>
          </w:tcPr>
          <w:p w14:paraId="59B189C3" w14:textId="77777777" w:rsidR="008B058A" w:rsidRPr="001A559D" w:rsidRDefault="008B058A" w:rsidP="007A1B38">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6930" w:type="dxa"/>
            <w:tcBorders>
              <w:top w:val="single" w:sz="4" w:space="0" w:color="000000"/>
              <w:left w:val="single" w:sz="4" w:space="0" w:color="000000"/>
              <w:bottom w:val="single" w:sz="4" w:space="0" w:color="000000"/>
              <w:right w:val="single" w:sz="4" w:space="0" w:color="000000"/>
            </w:tcBorders>
          </w:tcPr>
          <w:p w14:paraId="59B189C4" w14:textId="40641A6E" w:rsidR="00A31D12" w:rsidRPr="001A559D" w:rsidRDefault="00FD2511" w:rsidP="00A31D12">
            <w:pPr>
              <w:autoSpaceDE w:val="0"/>
              <w:autoSpaceDN w:val="0"/>
              <w:adjustRightInd w:val="0"/>
              <w:spacing w:before="4" w:after="0" w:line="240" w:lineRule="auto"/>
              <w:ind w:right="-20"/>
              <w:rPr>
                <w:rFonts w:ascii="Arial" w:hAnsi="Arial" w:cs="Arial"/>
              </w:rPr>
            </w:pPr>
            <w:r>
              <w:rPr>
                <w:rFonts w:ascii="Arial" w:hAnsi="Arial" w:cs="Arial"/>
                <w:sz w:val="20"/>
                <w:szCs w:val="20"/>
              </w:rPr>
              <w:t xml:space="preserve">USF HRPP </w:t>
            </w:r>
            <w:r w:rsidR="00A31D12">
              <w:rPr>
                <w:rFonts w:ascii="Arial" w:hAnsi="Arial" w:cs="Arial"/>
                <w:sz w:val="20"/>
                <w:szCs w:val="20"/>
              </w:rPr>
              <w:t>Policies and Procedures</w:t>
            </w:r>
          </w:p>
          <w:p w14:paraId="59B189C6" w14:textId="523CE214" w:rsidR="008B058A" w:rsidRPr="001A559D" w:rsidRDefault="008B058A" w:rsidP="00FD2511">
            <w:pPr>
              <w:autoSpaceDE w:val="0"/>
              <w:autoSpaceDN w:val="0"/>
              <w:adjustRightInd w:val="0"/>
              <w:spacing w:before="4" w:after="0" w:line="240" w:lineRule="auto"/>
              <w:ind w:right="-20"/>
              <w:rPr>
                <w:rFonts w:ascii="Arial" w:hAnsi="Arial" w:cs="Arial"/>
              </w:rPr>
            </w:pPr>
          </w:p>
        </w:tc>
      </w:tr>
      <w:tr w:rsidR="008B058A" w:rsidRPr="00FA6586" w14:paraId="59B189CA" w14:textId="77777777" w:rsidTr="00381661">
        <w:trPr>
          <w:trHeight w:hRule="exact" w:val="256"/>
        </w:trPr>
        <w:tc>
          <w:tcPr>
            <w:tcW w:w="2525" w:type="dxa"/>
            <w:tcBorders>
              <w:top w:val="single" w:sz="4" w:space="0" w:color="000000"/>
              <w:left w:val="single" w:sz="4" w:space="0" w:color="000000"/>
              <w:bottom w:val="single" w:sz="4" w:space="0" w:color="000000"/>
              <w:right w:val="single" w:sz="4" w:space="0" w:color="000000"/>
            </w:tcBorders>
          </w:tcPr>
          <w:p w14:paraId="59B189C8" w14:textId="77777777" w:rsidR="008B058A" w:rsidRPr="001A559D" w:rsidRDefault="008B058A" w:rsidP="007A1B38">
            <w:pPr>
              <w:autoSpaceDE w:val="0"/>
              <w:autoSpaceDN w:val="0"/>
              <w:adjustRightInd w:val="0"/>
              <w:spacing w:after="0" w:line="240" w:lineRule="auto"/>
              <w:rPr>
                <w:rFonts w:ascii="Arial" w:hAnsi="Arial" w:cs="Arial"/>
              </w:rPr>
            </w:pPr>
          </w:p>
        </w:tc>
        <w:tc>
          <w:tcPr>
            <w:tcW w:w="6930" w:type="dxa"/>
            <w:tcBorders>
              <w:top w:val="single" w:sz="4" w:space="0" w:color="000000"/>
              <w:left w:val="single" w:sz="4" w:space="0" w:color="000000"/>
              <w:bottom w:val="single" w:sz="4" w:space="0" w:color="000000"/>
              <w:right w:val="single" w:sz="4" w:space="0" w:color="000000"/>
            </w:tcBorders>
          </w:tcPr>
          <w:p w14:paraId="59B189C9" w14:textId="77777777" w:rsidR="008B058A" w:rsidRPr="001A559D" w:rsidRDefault="008B058A" w:rsidP="007A1B38">
            <w:pPr>
              <w:autoSpaceDE w:val="0"/>
              <w:autoSpaceDN w:val="0"/>
              <w:adjustRightInd w:val="0"/>
              <w:spacing w:after="0" w:line="240" w:lineRule="auto"/>
              <w:rPr>
                <w:rFonts w:ascii="Arial" w:hAnsi="Arial" w:cs="Arial"/>
              </w:rPr>
            </w:pPr>
          </w:p>
        </w:tc>
      </w:tr>
      <w:tr w:rsidR="008B058A" w:rsidRPr="00FA6586" w14:paraId="59B189CE" w14:textId="77777777" w:rsidTr="00381661">
        <w:trPr>
          <w:trHeight w:hRule="exact" w:val="538"/>
        </w:trPr>
        <w:tc>
          <w:tcPr>
            <w:tcW w:w="2525" w:type="dxa"/>
            <w:tcBorders>
              <w:top w:val="single" w:sz="4" w:space="0" w:color="000000"/>
              <w:left w:val="single" w:sz="4" w:space="0" w:color="000000"/>
              <w:bottom w:val="single" w:sz="4" w:space="0" w:color="000000"/>
              <w:right w:val="single" w:sz="4" w:space="0" w:color="000000"/>
            </w:tcBorders>
          </w:tcPr>
          <w:p w14:paraId="59B189CB" w14:textId="77777777" w:rsidR="008B058A" w:rsidRPr="001A559D" w:rsidRDefault="008B058A" w:rsidP="007A1B38">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6930" w:type="dxa"/>
            <w:tcBorders>
              <w:top w:val="single" w:sz="4" w:space="0" w:color="000000"/>
              <w:left w:val="single" w:sz="4" w:space="0" w:color="000000"/>
              <w:bottom w:val="single" w:sz="4" w:space="0" w:color="000000"/>
              <w:right w:val="single" w:sz="4" w:space="0" w:color="000000"/>
            </w:tcBorders>
          </w:tcPr>
          <w:p w14:paraId="59B189CD" w14:textId="093D7919" w:rsidR="008B058A" w:rsidRPr="00DD267E" w:rsidRDefault="00DC225E" w:rsidP="00566C6D">
            <w:pPr>
              <w:autoSpaceDE w:val="0"/>
              <w:autoSpaceDN w:val="0"/>
              <w:adjustRightInd w:val="0"/>
              <w:spacing w:before="4" w:after="0" w:line="240" w:lineRule="auto"/>
              <w:ind w:right="-20"/>
              <w:rPr>
                <w:rFonts w:ascii="Arial" w:hAnsi="Arial" w:cs="Arial"/>
                <w:spacing w:val="2"/>
                <w:w w:val="103"/>
                <w:sz w:val="20"/>
                <w:szCs w:val="20"/>
              </w:rPr>
            </w:pPr>
            <w:r>
              <w:rPr>
                <w:rFonts w:ascii="Arial" w:hAnsi="Arial" w:cs="Arial"/>
                <w:spacing w:val="2"/>
                <w:w w:val="103"/>
                <w:sz w:val="20"/>
                <w:szCs w:val="20"/>
              </w:rPr>
              <w:t>Appendix C</w:t>
            </w:r>
            <w:r w:rsidR="00DD267E">
              <w:rPr>
                <w:rFonts w:ascii="Arial" w:hAnsi="Arial" w:cs="Arial"/>
                <w:spacing w:val="2"/>
                <w:w w:val="103"/>
                <w:sz w:val="20"/>
                <w:szCs w:val="20"/>
              </w:rPr>
              <w:t>: Research Personnel</w:t>
            </w:r>
            <w:r w:rsidR="009E142E" w:rsidRPr="00695355">
              <w:rPr>
                <w:rFonts w:ascii="Arial" w:hAnsi="Arial" w:cs="Arial"/>
                <w:spacing w:val="2"/>
                <w:w w:val="103"/>
                <w:sz w:val="20"/>
                <w:szCs w:val="20"/>
              </w:rPr>
              <w:t xml:space="preserve"> Training Log</w:t>
            </w:r>
          </w:p>
        </w:tc>
      </w:tr>
      <w:tr w:rsidR="008B058A" w:rsidRPr="00FA6586" w14:paraId="59B189D1" w14:textId="77777777" w:rsidTr="00381661">
        <w:trPr>
          <w:trHeight w:hRule="exact" w:val="430"/>
        </w:trPr>
        <w:tc>
          <w:tcPr>
            <w:tcW w:w="2525" w:type="dxa"/>
            <w:tcBorders>
              <w:top w:val="single" w:sz="4" w:space="0" w:color="000000"/>
              <w:left w:val="single" w:sz="4" w:space="0" w:color="000000"/>
              <w:bottom w:val="single" w:sz="4" w:space="0" w:color="000000"/>
              <w:right w:val="single" w:sz="4" w:space="0" w:color="000000"/>
            </w:tcBorders>
          </w:tcPr>
          <w:p w14:paraId="59B189CF" w14:textId="77777777" w:rsidR="008B058A" w:rsidRPr="001A559D" w:rsidRDefault="008B058A" w:rsidP="007A1B38">
            <w:pPr>
              <w:autoSpaceDE w:val="0"/>
              <w:autoSpaceDN w:val="0"/>
              <w:adjustRightInd w:val="0"/>
              <w:spacing w:after="0" w:line="240" w:lineRule="auto"/>
              <w:rPr>
                <w:rFonts w:ascii="Arial" w:hAnsi="Arial" w:cs="Arial"/>
              </w:rPr>
            </w:pPr>
          </w:p>
        </w:tc>
        <w:tc>
          <w:tcPr>
            <w:tcW w:w="6930" w:type="dxa"/>
            <w:tcBorders>
              <w:top w:val="single" w:sz="4" w:space="0" w:color="000000"/>
              <w:left w:val="single" w:sz="4" w:space="0" w:color="000000"/>
              <w:bottom w:val="single" w:sz="4" w:space="0" w:color="000000"/>
              <w:right w:val="single" w:sz="4" w:space="0" w:color="000000"/>
            </w:tcBorders>
          </w:tcPr>
          <w:p w14:paraId="59B189D0" w14:textId="77777777" w:rsidR="008B058A" w:rsidRPr="001A559D" w:rsidRDefault="008B058A" w:rsidP="007A1B38">
            <w:pPr>
              <w:autoSpaceDE w:val="0"/>
              <w:autoSpaceDN w:val="0"/>
              <w:adjustRightInd w:val="0"/>
              <w:spacing w:after="0" w:line="240" w:lineRule="auto"/>
              <w:rPr>
                <w:rFonts w:ascii="Arial" w:hAnsi="Arial" w:cs="Arial"/>
              </w:rPr>
            </w:pPr>
          </w:p>
        </w:tc>
      </w:tr>
      <w:tr w:rsidR="008B058A" w:rsidRPr="00FA6586" w14:paraId="59B189E1" w14:textId="77777777" w:rsidTr="00381661">
        <w:trPr>
          <w:trHeight w:hRule="exact" w:val="1726"/>
        </w:trPr>
        <w:tc>
          <w:tcPr>
            <w:tcW w:w="9455" w:type="dxa"/>
            <w:gridSpan w:val="2"/>
            <w:tcBorders>
              <w:top w:val="single" w:sz="4" w:space="0" w:color="000000"/>
              <w:left w:val="single" w:sz="4" w:space="0" w:color="000000"/>
              <w:bottom w:val="single" w:sz="4" w:space="0" w:color="000000"/>
              <w:right w:val="single" w:sz="4" w:space="0" w:color="000000"/>
            </w:tcBorders>
          </w:tcPr>
          <w:p w14:paraId="59B189D2" w14:textId="579E853F" w:rsidR="008B058A" w:rsidRDefault="008B058A" w:rsidP="007A1B38">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sidR="00BD3905">
              <w:rPr>
                <w:rFonts w:ascii="Arial" w:hAnsi="Arial" w:cs="Arial"/>
                <w:b/>
              </w:rPr>
              <w:t xml:space="preserve"> </w:t>
            </w:r>
            <w:r w:rsidR="00BD3905">
              <w:rPr>
                <w:rFonts w:ascii="Arial" w:hAnsi="Arial" w:cs="Arial"/>
                <w:sz w:val="20"/>
                <w:szCs w:val="20"/>
              </w:rPr>
              <w:t>A</w:t>
            </w:r>
            <w:r w:rsidRPr="00D229BE">
              <w:rPr>
                <w:rFonts w:ascii="Arial" w:hAnsi="Arial" w:cs="Arial"/>
                <w:sz w:val="20"/>
                <w:szCs w:val="20"/>
              </w:rPr>
              <w:t xml:space="preserve"> runnin</w:t>
            </w:r>
            <w:r w:rsidR="00BD3905">
              <w:rPr>
                <w:rFonts w:ascii="Arial" w:hAnsi="Arial" w:cs="Arial"/>
                <w:sz w:val="20"/>
                <w:szCs w:val="20"/>
              </w:rPr>
              <w:t>g history of all revision dates will be kept in a log</w:t>
            </w:r>
          </w:p>
          <w:p w14:paraId="59B189D3" w14:textId="77777777" w:rsidR="00376AA3" w:rsidRPr="00433679" w:rsidRDefault="00376AA3" w:rsidP="007A1B38">
            <w:pPr>
              <w:autoSpaceDE w:val="0"/>
              <w:autoSpaceDN w:val="0"/>
              <w:adjustRightInd w:val="0"/>
              <w:spacing w:after="0" w:line="240" w:lineRule="auto"/>
              <w:ind w:right="-20"/>
              <w:rPr>
                <w:rFonts w:ascii="Arial" w:hAnsi="Arial" w:cs="Arial"/>
              </w:rPr>
            </w:pPr>
          </w:p>
          <w:tbl>
            <w:tblPr>
              <w:tblStyle w:val="TableGrid"/>
              <w:tblW w:w="9477" w:type="dxa"/>
              <w:tblLayout w:type="fixed"/>
              <w:tblLook w:val="04A0" w:firstRow="1" w:lastRow="0" w:firstColumn="1" w:lastColumn="0" w:noHBand="0" w:noVBand="1"/>
            </w:tblPr>
            <w:tblGrid>
              <w:gridCol w:w="3159"/>
              <w:gridCol w:w="3159"/>
              <w:gridCol w:w="3159"/>
            </w:tblGrid>
            <w:tr w:rsidR="008B058A" w14:paraId="59B189D7" w14:textId="77777777" w:rsidTr="007A1B38">
              <w:trPr>
                <w:trHeight w:val="392"/>
              </w:trPr>
              <w:tc>
                <w:tcPr>
                  <w:tcW w:w="3159" w:type="dxa"/>
                </w:tcPr>
                <w:p w14:paraId="59B189D4" w14:textId="77777777" w:rsidR="008B058A" w:rsidRDefault="008B058A" w:rsidP="00240840">
                  <w:pPr>
                    <w:framePr w:hSpace="180" w:wrap="around" w:vAnchor="text" w:hAnchor="margin" w:x="-255" w:y="233"/>
                    <w:autoSpaceDE w:val="0"/>
                    <w:autoSpaceDN w:val="0"/>
                    <w:adjustRightInd w:val="0"/>
                    <w:ind w:left="-113" w:right="-20"/>
                    <w:rPr>
                      <w:rFonts w:ascii="Arial" w:hAnsi="Arial" w:cs="Arial"/>
                      <w:b/>
                    </w:rPr>
                  </w:pPr>
                  <w:r>
                    <w:rPr>
                      <w:rFonts w:ascii="Arial" w:hAnsi="Arial" w:cs="Arial"/>
                      <w:b/>
                    </w:rPr>
                    <w:t>Approval Date</w:t>
                  </w:r>
                </w:p>
              </w:tc>
              <w:tc>
                <w:tcPr>
                  <w:tcW w:w="3159" w:type="dxa"/>
                </w:tcPr>
                <w:p w14:paraId="59B189D5" w14:textId="77777777" w:rsidR="008B058A" w:rsidRDefault="00433679" w:rsidP="00240840">
                  <w:pPr>
                    <w:framePr w:hSpace="180" w:wrap="around" w:vAnchor="text" w:hAnchor="margin" w:x="-255" w:y="233"/>
                    <w:autoSpaceDE w:val="0"/>
                    <w:autoSpaceDN w:val="0"/>
                    <w:adjustRightInd w:val="0"/>
                    <w:ind w:right="-20"/>
                    <w:rPr>
                      <w:rFonts w:ascii="Arial" w:hAnsi="Arial" w:cs="Arial"/>
                      <w:b/>
                    </w:rPr>
                  </w:pPr>
                  <w:r>
                    <w:rPr>
                      <w:rFonts w:ascii="Arial" w:hAnsi="Arial" w:cs="Arial"/>
                      <w:b/>
                    </w:rPr>
                    <w:t xml:space="preserve">           </w:t>
                  </w:r>
                  <w:r w:rsidR="008B058A">
                    <w:rPr>
                      <w:rFonts w:ascii="Arial" w:hAnsi="Arial" w:cs="Arial"/>
                      <w:b/>
                    </w:rPr>
                    <w:t>Effective Date</w:t>
                  </w:r>
                </w:p>
              </w:tc>
              <w:tc>
                <w:tcPr>
                  <w:tcW w:w="3159" w:type="dxa"/>
                </w:tcPr>
                <w:p w14:paraId="59B189D6" w14:textId="77777777" w:rsidR="008B058A" w:rsidRDefault="008B058A" w:rsidP="00240840">
                  <w:pPr>
                    <w:framePr w:hSpace="180" w:wrap="around" w:vAnchor="text" w:hAnchor="margin" w:x="-255" w:y="233"/>
                    <w:autoSpaceDE w:val="0"/>
                    <w:autoSpaceDN w:val="0"/>
                    <w:adjustRightInd w:val="0"/>
                    <w:ind w:right="-20"/>
                    <w:rPr>
                      <w:rFonts w:ascii="Arial" w:hAnsi="Arial" w:cs="Arial"/>
                      <w:b/>
                    </w:rPr>
                  </w:pPr>
                  <w:r>
                    <w:rPr>
                      <w:rFonts w:ascii="Arial" w:hAnsi="Arial" w:cs="Arial"/>
                      <w:b/>
                    </w:rPr>
                    <w:t>Review/Revision Date</w:t>
                  </w:r>
                </w:p>
              </w:tc>
            </w:tr>
            <w:tr w:rsidR="008B058A" w14:paraId="59B189DB" w14:textId="77777777" w:rsidTr="007A1B38">
              <w:trPr>
                <w:trHeight w:val="265"/>
              </w:trPr>
              <w:tc>
                <w:tcPr>
                  <w:tcW w:w="3159" w:type="dxa"/>
                </w:tcPr>
                <w:p w14:paraId="59B189D8" w14:textId="4ED44B0C" w:rsidR="008B058A" w:rsidRDefault="00E90756" w:rsidP="00240840">
                  <w:pPr>
                    <w:framePr w:hSpace="180" w:wrap="around" w:vAnchor="text" w:hAnchor="margin" w:x="-255" w:y="233"/>
                    <w:autoSpaceDE w:val="0"/>
                    <w:autoSpaceDN w:val="0"/>
                    <w:adjustRightInd w:val="0"/>
                    <w:ind w:right="-20"/>
                    <w:rPr>
                      <w:rFonts w:ascii="Arial" w:hAnsi="Arial" w:cs="Arial"/>
                      <w:b/>
                    </w:rPr>
                  </w:pPr>
                  <w:r>
                    <w:rPr>
                      <w:rFonts w:ascii="Arial" w:hAnsi="Arial" w:cs="Arial"/>
                      <w:b/>
                    </w:rPr>
                    <w:t>01/01/2015</w:t>
                  </w:r>
                </w:p>
              </w:tc>
              <w:tc>
                <w:tcPr>
                  <w:tcW w:w="3159" w:type="dxa"/>
                </w:tcPr>
                <w:p w14:paraId="59B189D9" w14:textId="414FE712" w:rsidR="008B058A" w:rsidRDefault="00E90756" w:rsidP="00240840">
                  <w:pPr>
                    <w:framePr w:hSpace="180" w:wrap="around" w:vAnchor="text" w:hAnchor="margin" w:x="-255" w:y="233"/>
                    <w:autoSpaceDE w:val="0"/>
                    <w:autoSpaceDN w:val="0"/>
                    <w:adjustRightInd w:val="0"/>
                    <w:ind w:right="-20"/>
                    <w:rPr>
                      <w:rFonts w:ascii="Arial" w:hAnsi="Arial" w:cs="Arial"/>
                      <w:b/>
                    </w:rPr>
                  </w:pPr>
                  <w:r>
                    <w:rPr>
                      <w:rFonts w:ascii="Arial" w:hAnsi="Arial" w:cs="Arial"/>
                      <w:b/>
                    </w:rPr>
                    <w:t>01/01/2015</w:t>
                  </w:r>
                </w:p>
              </w:tc>
              <w:tc>
                <w:tcPr>
                  <w:tcW w:w="3159" w:type="dxa"/>
                </w:tcPr>
                <w:p w14:paraId="59B189DA" w14:textId="5B56B79D" w:rsidR="008B058A" w:rsidRDefault="008B058A" w:rsidP="00240840">
                  <w:pPr>
                    <w:framePr w:hSpace="180" w:wrap="around" w:vAnchor="text" w:hAnchor="margin" w:x="-255" w:y="233"/>
                    <w:autoSpaceDE w:val="0"/>
                    <w:autoSpaceDN w:val="0"/>
                    <w:adjustRightInd w:val="0"/>
                    <w:ind w:right="-20"/>
                    <w:rPr>
                      <w:rFonts w:ascii="Arial" w:hAnsi="Arial" w:cs="Arial"/>
                      <w:b/>
                    </w:rPr>
                  </w:pPr>
                </w:p>
              </w:tc>
            </w:tr>
            <w:tr w:rsidR="008B058A" w14:paraId="59B189DF" w14:textId="77777777" w:rsidTr="007A1B38">
              <w:trPr>
                <w:trHeight w:val="265"/>
              </w:trPr>
              <w:tc>
                <w:tcPr>
                  <w:tcW w:w="3159" w:type="dxa"/>
                </w:tcPr>
                <w:p w14:paraId="59B189DC" w14:textId="77777777" w:rsidR="008B058A" w:rsidRDefault="008B058A" w:rsidP="00240840">
                  <w:pPr>
                    <w:framePr w:hSpace="180" w:wrap="around" w:vAnchor="text" w:hAnchor="margin" w:x="-255" w:y="233"/>
                    <w:autoSpaceDE w:val="0"/>
                    <w:autoSpaceDN w:val="0"/>
                    <w:adjustRightInd w:val="0"/>
                    <w:ind w:right="-20"/>
                    <w:rPr>
                      <w:rFonts w:ascii="Arial" w:hAnsi="Arial" w:cs="Arial"/>
                      <w:b/>
                    </w:rPr>
                  </w:pPr>
                </w:p>
              </w:tc>
              <w:tc>
                <w:tcPr>
                  <w:tcW w:w="3159" w:type="dxa"/>
                </w:tcPr>
                <w:p w14:paraId="59B189DD" w14:textId="77777777" w:rsidR="008B058A" w:rsidRDefault="008B058A" w:rsidP="00240840">
                  <w:pPr>
                    <w:framePr w:hSpace="180" w:wrap="around" w:vAnchor="text" w:hAnchor="margin" w:x="-255" w:y="233"/>
                    <w:autoSpaceDE w:val="0"/>
                    <w:autoSpaceDN w:val="0"/>
                    <w:adjustRightInd w:val="0"/>
                    <w:ind w:right="-20"/>
                    <w:rPr>
                      <w:rFonts w:ascii="Arial" w:hAnsi="Arial" w:cs="Arial"/>
                      <w:b/>
                    </w:rPr>
                  </w:pPr>
                </w:p>
              </w:tc>
              <w:tc>
                <w:tcPr>
                  <w:tcW w:w="3159" w:type="dxa"/>
                </w:tcPr>
                <w:p w14:paraId="59B189DE" w14:textId="77777777" w:rsidR="008B058A" w:rsidRDefault="008B058A" w:rsidP="00240840">
                  <w:pPr>
                    <w:framePr w:hSpace="180" w:wrap="around" w:vAnchor="text" w:hAnchor="margin" w:x="-255" w:y="233"/>
                    <w:autoSpaceDE w:val="0"/>
                    <w:autoSpaceDN w:val="0"/>
                    <w:adjustRightInd w:val="0"/>
                    <w:ind w:right="-20"/>
                    <w:rPr>
                      <w:rFonts w:ascii="Arial" w:hAnsi="Arial" w:cs="Arial"/>
                      <w:b/>
                    </w:rPr>
                  </w:pPr>
                </w:p>
              </w:tc>
            </w:tr>
          </w:tbl>
          <w:p w14:paraId="59B189E0" w14:textId="77777777" w:rsidR="008B058A" w:rsidRPr="00D342C1" w:rsidRDefault="008B058A" w:rsidP="007A1B38">
            <w:pPr>
              <w:autoSpaceDE w:val="0"/>
              <w:autoSpaceDN w:val="0"/>
              <w:adjustRightInd w:val="0"/>
              <w:spacing w:after="0" w:line="240" w:lineRule="auto"/>
              <w:ind w:right="-20"/>
              <w:rPr>
                <w:rFonts w:ascii="Arial" w:hAnsi="Arial" w:cs="Arial"/>
                <w:b/>
              </w:rPr>
            </w:pPr>
          </w:p>
        </w:tc>
      </w:tr>
      <w:tr w:rsidR="008B058A" w:rsidRPr="00FA6586" w14:paraId="59B189E5" w14:textId="77777777" w:rsidTr="00381661">
        <w:trPr>
          <w:trHeight w:hRule="exact" w:val="859"/>
        </w:trPr>
        <w:tc>
          <w:tcPr>
            <w:tcW w:w="9455" w:type="dxa"/>
            <w:gridSpan w:val="2"/>
            <w:tcBorders>
              <w:top w:val="single" w:sz="4" w:space="0" w:color="000000"/>
              <w:left w:val="single" w:sz="4" w:space="0" w:color="000000"/>
              <w:bottom w:val="single" w:sz="4" w:space="0" w:color="000000"/>
              <w:right w:val="single" w:sz="4" w:space="0" w:color="000000"/>
            </w:tcBorders>
            <w:vAlign w:val="center"/>
          </w:tcPr>
          <w:p w14:paraId="59B189E4" w14:textId="0B29BF42" w:rsidR="008B058A" w:rsidRPr="0066728A" w:rsidRDefault="008B058A" w:rsidP="007A1B38">
            <w:pPr>
              <w:autoSpaceDE w:val="0"/>
              <w:autoSpaceDN w:val="0"/>
              <w:adjustRightInd w:val="0"/>
              <w:spacing w:before="4" w:after="0" w:line="253" w:lineRule="auto"/>
              <w:ind w:left="105" w:right="235"/>
              <w:rPr>
                <w:rFonts w:ascii="Arial" w:hAnsi="Arial" w:cs="Arial"/>
                <w:position w:val="1"/>
              </w:rPr>
            </w:pPr>
          </w:p>
        </w:tc>
      </w:tr>
    </w:tbl>
    <w:p w14:paraId="59B189E6" w14:textId="77777777" w:rsidR="0066728A" w:rsidRDefault="0066728A" w:rsidP="0066728A">
      <w:pPr>
        <w:autoSpaceDE w:val="0"/>
        <w:autoSpaceDN w:val="0"/>
        <w:adjustRightInd w:val="0"/>
        <w:spacing w:before="12" w:after="0" w:line="260" w:lineRule="exact"/>
        <w:rPr>
          <w:rFonts w:ascii="Times New Roman" w:hAnsi="Times New Roman" w:cs="Times New Roman"/>
          <w:sz w:val="26"/>
          <w:szCs w:val="26"/>
        </w:rPr>
      </w:pPr>
    </w:p>
    <w:sectPr w:rsidR="0066728A" w:rsidSect="00A31D12">
      <w:headerReference w:type="default" r:id="rId18"/>
      <w:pgSz w:w="12240" w:h="15840"/>
      <w:pgMar w:top="108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2D55D" w14:textId="77777777" w:rsidR="00B40703" w:rsidRDefault="00B40703" w:rsidP="00235C05">
      <w:pPr>
        <w:spacing w:after="0" w:line="240" w:lineRule="auto"/>
      </w:pPr>
      <w:r>
        <w:separator/>
      </w:r>
    </w:p>
  </w:endnote>
  <w:endnote w:type="continuationSeparator" w:id="0">
    <w:p w14:paraId="556BD3BF" w14:textId="77777777" w:rsidR="00B40703" w:rsidRDefault="00B40703"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7F715" w14:textId="77777777" w:rsidR="00B40703" w:rsidRDefault="00B40703" w:rsidP="00235C05">
      <w:pPr>
        <w:spacing w:after="0" w:line="240" w:lineRule="auto"/>
      </w:pPr>
      <w:r>
        <w:separator/>
      </w:r>
    </w:p>
  </w:footnote>
  <w:footnote w:type="continuationSeparator" w:id="0">
    <w:p w14:paraId="5C88BA6C" w14:textId="77777777" w:rsidR="00B40703" w:rsidRDefault="00B40703"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5" w:type="pct"/>
      <w:tblInd w:w="-255" w:type="dxa"/>
      <w:tblCellMar>
        <w:left w:w="0" w:type="dxa"/>
        <w:right w:w="0" w:type="dxa"/>
      </w:tblCellMar>
      <w:tblLook w:val="0020" w:firstRow="1" w:lastRow="0" w:firstColumn="0" w:lastColumn="0" w:noHBand="0" w:noVBand="0"/>
    </w:tblPr>
    <w:tblGrid>
      <w:gridCol w:w="2181"/>
      <w:gridCol w:w="3035"/>
      <w:gridCol w:w="2215"/>
      <w:gridCol w:w="2076"/>
    </w:tblGrid>
    <w:tr w:rsidR="009956F1" w:rsidRPr="00F93A82" w14:paraId="5957920F" w14:textId="77777777" w:rsidTr="00A31D12">
      <w:trPr>
        <w:cantSplit/>
        <w:trHeight w:hRule="exact" w:val="66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4D709D4D" w14:textId="77777777" w:rsidR="009956F1" w:rsidRDefault="009956F1" w:rsidP="00940272">
          <w:pPr>
            <w:autoSpaceDE w:val="0"/>
            <w:autoSpaceDN w:val="0"/>
            <w:adjustRightInd w:val="0"/>
            <w:spacing w:before="4" w:after="0" w:line="240" w:lineRule="auto"/>
            <w:ind w:right="-20"/>
            <w:jc w:val="center"/>
            <w:rPr>
              <w:rFonts w:ascii="Arial" w:hAnsi="Arial" w:cs="Arial"/>
              <w:b/>
              <w:bCs/>
              <w:sz w:val="24"/>
              <w:szCs w:val="24"/>
            </w:rPr>
          </w:pPr>
        </w:p>
        <w:p w14:paraId="744F726E" w14:textId="77777777" w:rsidR="009956F1" w:rsidRPr="0024352A" w:rsidRDefault="009956F1" w:rsidP="0094027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26E5CF89" w14:textId="77777777" w:rsidR="009956F1" w:rsidRDefault="009956F1" w:rsidP="00940272">
          <w:pPr>
            <w:autoSpaceDE w:val="0"/>
            <w:autoSpaceDN w:val="0"/>
            <w:adjustRightInd w:val="0"/>
            <w:spacing w:before="4" w:after="0" w:line="240" w:lineRule="auto"/>
            <w:ind w:right="-20"/>
            <w:jc w:val="center"/>
            <w:rPr>
              <w:rFonts w:ascii="Arial" w:hAnsi="Arial" w:cs="Arial"/>
              <w:b/>
              <w:bCs/>
            </w:rPr>
          </w:pPr>
        </w:p>
      </w:tc>
    </w:tr>
    <w:tr w:rsidR="009956F1" w:rsidRPr="00F93A82" w14:paraId="6DC2CBA9" w14:textId="77777777" w:rsidTr="00A31D12">
      <w:trPr>
        <w:cantSplit/>
        <w:trHeight w:hRule="exact" w:val="956"/>
        <w:tblHeader/>
      </w:trPr>
      <w:tc>
        <w:tcPr>
          <w:tcW w:w="1147" w:type="pct"/>
          <w:tcBorders>
            <w:top w:val="single" w:sz="12" w:space="0" w:color="000000"/>
            <w:left w:val="single" w:sz="12" w:space="0" w:color="000000"/>
            <w:bottom w:val="single" w:sz="12" w:space="0" w:color="000000"/>
            <w:right w:val="single" w:sz="12" w:space="0" w:color="000000"/>
          </w:tcBorders>
          <w:vAlign w:val="center"/>
        </w:tcPr>
        <w:p w14:paraId="0F8B3ABE" w14:textId="77777777" w:rsidR="009956F1" w:rsidRPr="00F93A82" w:rsidRDefault="009956F1" w:rsidP="0094027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2FAC3A" wp14:editId="2EEEFFDE">
                <wp:extent cx="10191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853" w:type="pct"/>
          <w:gridSpan w:val="3"/>
          <w:tcBorders>
            <w:top w:val="single" w:sz="12" w:space="0" w:color="000000"/>
            <w:left w:val="single" w:sz="12" w:space="0" w:color="000000"/>
            <w:bottom w:val="single" w:sz="12" w:space="0" w:color="000000"/>
            <w:right w:val="single" w:sz="12" w:space="0" w:color="000000"/>
          </w:tcBorders>
        </w:tcPr>
        <w:p w14:paraId="771F2ADE" w14:textId="77777777" w:rsidR="009956F1" w:rsidRDefault="009956F1" w:rsidP="00F71DC9">
          <w:pPr>
            <w:autoSpaceDE w:val="0"/>
            <w:autoSpaceDN w:val="0"/>
            <w:adjustRightInd w:val="0"/>
            <w:spacing w:after="0" w:line="240" w:lineRule="auto"/>
            <w:ind w:right="-20"/>
            <w:jc w:val="center"/>
            <w:rPr>
              <w:rFonts w:ascii="Arial" w:hAnsi="Arial" w:cs="Arial"/>
              <w:b/>
              <w:sz w:val="24"/>
              <w:szCs w:val="24"/>
            </w:rPr>
          </w:pPr>
        </w:p>
        <w:p w14:paraId="5D6E5BC0" w14:textId="3A6B1A57" w:rsidR="009956F1" w:rsidRPr="00115383" w:rsidRDefault="009956F1" w:rsidP="003E072F">
          <w:pPr>
            <w:autoSpaceDE w:val="0"/>
            <w:autoSpaceDN w:val="0"/>
            <w:adjustRightInd w:val="0"/>
            <w:spacing w:after="0" w:line="240" w:lineRule="auto"/>
            <w:ind w:right="-20"/>
            <w:jc w:val="center"/>
            <w:rPr>
              <w:rFonts w:ascii="Arial" w:hAnsi="Arial" w:cs="Arial"/>
              <w:sz w:val="28"/>
              <w:szCs w:val="28"/>
            </w:rPr>
          </w:pPr>
          <w:r w:rsidRPr="003E072F">
            <w:rPr>
              <w:rFonts w:ascii="Arial" w:hAnsi="Arial" w:cs="Arial"/>
              <w:b/>
              <w:sz w:val="28"/>
              <w:szCs w:val="28"/>
            </w:rPr>
            <w:t xml:space="preserve">TRAINING CLINICAL RESEARCH </w:t>
          </w:r>
          <w:r>
            <w:rPr>
              <w:rFonts w:ascii="Arial" w:hAnsi="Arial" w:cs="Arial"/>
              <w:b/>
              <w:sz w:val="28"/>
              <w:szCs w:val="28"/>
            </w:rPr>
            <w:t>PERSONNEL</w:t>
          </w:r>
        </w:p>
      </w:tc>
    </w:tr>
    <w:tr w:rsidR="009956F1" w:rsidRPr="00F93A82" w14:paraId="626AEDBF" w14:textId="77777777" w:rsidTr="00A31D12">
      <w:trPr>
        <w:cantSplit/>
        <w:trHeight w:hRule="exact" w:val="754"/>
        <w:tblHeader/>
      </w:trPr>
      <w:tc>
        <w:tcPr>
          <w:tcW w:w="1147" w:type="pct"/>
          <w:tcBorders>
            <w:top w:val="single" w:sz="12" w:space="0" w:color="000000"/>
            <w:left w:val="single" w:sz="12" w:space="0" w:color="000000"/>
            <w:bottom w:val="single" w:sz="12" w:space="0" w:color="000000"/>
            <w:right w:val="single" w:sz="12" w:space="0" w:color="000000"/>
          </w:tcBorders>
          <w:vAlign w:val="bottom"/>
        </w:tcPr>
        <w:p w14:paraId="32D8AFA9" w14:textId="5F776CBC" w:rsidR="009956F1" w:rsidRPr="00851AE9" w:rsidRDefault="00A31D12" w:rsidP="00A31D12">
          <w:pPr>
            <w:autoSpaceDE w:val="0"/>
            <w:autoSpaceDN w:val="0"/>
            <w:adjustRightInd w:val="0"/>
            <w:spacing w:after="0" w:line="240" w:lineRule="auto"/>
            <w:ind w:right="-20"/>
            <w:rPr>
              <w:rFonts w:ascii="Arial" w:hAnsi="Arial" w:cs="Arial"/>
              <w:b/>
            </w:rPr>
          </w:pPr>
          <w:r>
            <w:rPr>
              <w:rFonts w:ascii="Arial" w:hAnsi="Arial" w:cs="Arial"/>
              <w:b/>
            </w:rPr>
            <w:t xml:space="preserve">       </w:t>
          </w:r>
          <w:r w:rsidR="009956F1" w:rsidRPr="00851AE9">
            <w:rPr>
              <w:rFonts w:ascii="Arial" w:hAnsi="Arial" w:cs="Arial"/>
              <w:b/>
            </w:rPr>
            <w:t>SOP#: 10</w:t>
          </w:r>
          <w:r w:rsidR="009956F1">
            <w:rPr>
              <w:rFonts w:ascii="Arial" w:hAnsi="Arial" w:cs="Arial"/>
              <w:b/>
            </w:rPr>
            <w:t>2</w:t>
          </w:r>
        </w:p>
      </w:tc>
      <w:tc>
        <w:tcPr>
          <w:tcW w:w="1596" w:type="pct"/>
          <w:tcBorders>
            <w:top w:val="single" w:sz="12" w:space="0" w:color="000000"/>
            <w:left w:val="single" w:sz="12" w:space="0" w:color="000000"/>
            <w:bottom w:val="single" w:sz="12" w:space="0" w:color="000000"/>
            <w:right w:val="single" w:sz="4" w:space="0" w:color="auto"/>
          </w:tcBorders>
          <w:vAlign w:val="bottom"/>
        </w:tcPr>
        <w:p w14:paraId="03AD01A0" w14:textId="77777777" w:rsidR="00F27339" w:rsidRDefault="00F27339" w:rsidP="00940272">
          <w:pPr>
            <w:autoSpaceDE w:val="0"/>
            <w:autoSpaceDN w:val="0"/>
            <w:adjustRightInd w:val="0"/>
            <w:spacing w:after="0" w:line="240" w:lineRule="auto"/>
            <w:ind w:right="-20"/>
            <w:jc w:val="center"/>
            <w:rPr>
              <w:rFonts w:ascii="Arial" w:hAnsi="Arial" w:cs="Arial"/>
              <w:b/>
              <w:spacing w:val="2"/>
            </w:rPr>
          </w:pPr>
        </w:p>
        <w:p w14:paraId="039340A4" w14:textId="77777777" w:rsidR="00A31D12" w:rsidRDefault="00A31D12" w:rsidP="00A31D12">
          <w:pPr>
            <w:autoSpaceDE w:val="0"/>
            <w:autoSpaceDN w:val="0"/>
            <w:adjustRightInd w:val="0"/>
            <w:spacing w:after="0" w:line="240" w:lineRule="auto"/>
            <w:ind w:right="-20"/>
            <w:rPr>
              <w:rFonts w:ascii="Arial" w:hAnsi="Arial" w:cs="Arial"/>
              <w:b/>
              <w:spacing w:val="2"/>
            </w:rPr>
          </w:pPr>
        </w:p>
        <w:p w14:paraId="05DE1199" w14:textId="0D622BFC" w:rsidR="005A21CF" w:rsidRDefault="009956F1" w:rsidP="00A31D1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r w:rsidR="00A31D12">
            <w:rPr>
              <w:rFonts w:ascii="Arial" w:hAnsi="Arial" w:cs="Arial"/>
              <w:b/>
              <w:spacing w:val="2"/>
            </w:rPr>
            <w:t>01/01/2015</w:t>
          </w:r>
        </w:p>
        <w:p w14:paraId="3DD7B4C5" w14:textId="7D0BC8F2" w:rsidR="005A21CF" w:rsidRPr="00851AE9" w:rsidRDefault="005A21CF" w:rsidP="005A21CF">
          <w:pPr>
            <w:autoSpaceDE w:val="0"/>
            <w:autoSpaceDN w:val="0"/>
            <w:adjustRightInd w:val="0"/>
            <w:spacing w:after="0" w:line="240" w:lineRule="auto"/>
            <w:ind w:right="-20"/>
            <w:rPr>
              <w:rFonts w:ascii="Arial" w:hAnsi="Arial" w:cs="Arial"/>
              <w:b/>
              <w:spacing w:val="2"/>
            </w:rPr>
          </w:pPr>
        </w:p>
      </w:tc>
      <w:tc>
        <w:tcPr>
          <w:tcW w:w="1165" w:type="pct"/>
          <w:tcBorders>
            <w:top w:val="single" w:sz="12" w:space="0" w:color="000000"/>
            <w:left w:val="single" w:sz="4" w:space="0" w:color="auto"/>
            <w:bottom w:val="single" w:sz="12" w:space="0" w:color="000000"/>
            <w:right w:val="single" w:sz="12" w:space="0" w:color="000000"/>
          </w:tcBorders>
          <w:vAlign w:val="bottom"/>
        </w:tcPr>
        <w:p w14:paraId="173EC342" w14:textId="77777777" w:rsidR="009956F1" w:rsidRPr="00851AE9" w:rsidRDefault="009956F1" w:rsidP="00940272">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091" w:type="pct"/>
          <w:tcBorders>
            <w:top w:val="single" w:sz="12" w:space="0" w:color="000000"/>
            <w:left w:val="single" w:sz="12" w:space="0" w:color="000000"/>
            <w:bottom w:val="single" w:sz="12" w:space="0" w:color="000000"/>
            <w:right w:val="single" w:sz="12" w:space="0" w:color="000000"/>
          </w:tcBorders>
          <w:vAlign w:val="bottom"/>
        </w:tcPr>
        <w:p w14:paraId="5DD57EB6" w14:textId="73E4744D" w:rsidR="009956F1" w:rsidRPr="00851AE9" w:rsidRDefault="009956F1" w:rsidP="00940272">
          <w:pPr>
            <w:autoSpaceDE w:val="0"/>
            <w:autoSpaceDN w:val="0"/>
            <w:adjustRightInd w:val="0"/>
            <w:spacing w:before="18" w:after="0" w:line="253" w:lineRule="auto"/>
            <w:ind w:right="240"/>
            <w:jc w:val="center"/>
            <w:rPr>
              <w:rFonts w:ascii="Arial" w:hAnsi="Arial" w:cs="Arial"/>
              <w:b/>
              <w:bCs/>
              <w:spacing w:val="2"/>
            </w:rPr>
          </w:pPr>
          <w:r w:rsidRPr="00940272">
            <w:rPr>
              <w:rFonts w:ascii="Arial" w:hAnsi="Arial" w:cs="Arial"/>
              <w:b/>
              <w:bCs/>
              <w:spacing w:val="2"/>
            </w:rPr>
            <w:t xml:space="preserve">Page </w:t>
          </w:r>
          <w:r w:rsidRPr="00940272">
            <w:rPr>
              <w:rFonts w:ascii="Arial" w:hAnsi="Arial" w:cs="Arial"/>
              <w:b/>
              <w:bCs/>
              <w:spacing w:val="2"/>
            </w:rPr>
            <w:fldChar w:fldCharType="begin"/>
          </w:r>
          <w:r w:rsidRPr="00940272">
            <w:rPr>
              <w:rFonts w:ascii="Arial" w:hAnsi="Arial" w:cs="Arial"/>
              <w:b/>
              <w:bCs/>
              <w:spacing w:val="2"/>
            </w:rPr>
            <w:instrText xml:space="preserve"> PAGE  \* Arabic  \* MERGEFORMAT </w:instrText>
          </w:r>
          <w:r w:rsidRPr="00940272">
            <w:rPr>
              <w:rFonts w:ascii="Arial" w:hAnsi="Arial" w:cs="Arial"/>
              <w:b/>
              <w:bCs/>
              <w:spacing w:val="2"/>
            </w:rPr>
            <w:fldChar w:fldCharType="separate"/>
          </w:r>
          <w:r w:rsidR="00240840">
            <w:rPr>
              <w:rFonts w:ascii="Arial" w:hAnsi="Arial" w:cs="Arial"/>
              <w:b/>
              <w:bCs/>
              <w:noProof/>
              <w:spacing w:val="2"/>
            </w:rPr>
            <w:t>1</w:t>
          </w:r>
          <w:r w:rsidRPr="00940272">
            <w:rPr>
              <w:rFonts w:ascii="Arial" w:hAnsi="Arial" w:cs="Arial"/>
              <w:b/>
              <w:bCs/>
              <w:spacing w:val="2"/>
            </w:rPr>
            <w:fldChar w:fldCharType="end"/>
          </w:r>
          <w:r w:rsidRPr="00940272">
            <w:rPr>
              <w:rFonts w:ascii="Arial" w:hAnsi="Arial" w:cs="Arial"/>
              <w:b/>
              <w:bCs/>
              <w:spacing w:val="2"/>
            </w:rPr>
            <w:t xml:space="preserve"> of </w:t>
          </w:r>
          <w:r w:rsidRPr="00940272">
            <w:rPr>
              <w:rFonts w:ascii="Arial" w:hAnsi="Arial" w:cs="Arial"/>
              <w:b/>
              <w:bCs/>
              <w:spacing w:val="2"/>
            </w:rPr>
            <w:fldChar w:fldCharType="begin"/>
          </w:r>
          <w:r w:rsidRPr="00940272">
            <w:rPr>
              <w:rFonts w:ascii="Arial" w:hAnsi="Arial" w:cs="Arial"/>
              <w:b/>
              <w:bCs/>
              <w:spacing w:val="2"/>
            </w:rPr>
            <w:instrText xml:space="preserve"> NUMPAGES  \* Arabic  \* MERGEFORMAT </w:instrText>
          </w:r>
          <w:r w:rsidRPr="00940272">
            <w:rPr>
              <w:rFonts w:ascii="Arial" w:hAnsi="Arial" w:cs="Arial"/>
              <w:b/>
              <w:bCs/>
              <w:spacing w:val="2"/>
            </w:rPr>
            <w:fldChar w:fldCharType="separate"/>
          </w:r>
          <w:r w:rsidR="00240840">
            <w:rPr>
              <w:rFonts w:ascii="Arial" w:hAnsi="Arial" w:cs="Arial"/>
              <w:b/>
              <w:bCs/>
              <w:noProof/>
              <w:spacing w:val="2"/>
            </w:rPr>
            <w:t>4</w:t>
          </w:r>
          <w:r w:rsidRPr="00940272">
            <w:rPr>
              <w:rFonts w:ascii="Arial" w:hAnsi="Arial" w:cs="Arial"/>
              <w:b/>
              <w:bCs/>
              <w:spacing w:val="2"/>
            </w:rPr>
            <w:fldChar w:fldCharType="end"/>
          </w:r>
        </w:p>
      </w:tc>
    </w:tr>
  </w:tbl>
  <w:p w14:paraId="59B189FE" w14:textId="65B7A40E" w:rsidR="009956F1" w:rsidRDefault="00995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8AA"/>
    <w:multiLevelType w:val="hybridMultilevel"/>
    <w:tmpl w:val="2DB616B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04667215"/>
    <w:multiLevelType w:val="hybridMultilevel"/>
    <w:tmpl w:val="EC1C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39F3"/>
    <w:multiLevelType w:val="hybridMultilevel"/>
    <w:tmpl w:val="E38E5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65F1C34"/>
    <w:multiLevelType w:val="hybridMultilevel"/>
    <w:tmpl w:val="3A0C2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D231A"/>
    <w:multiLevelType w:val="hybridMultilevel"/>
    <w:tmpl w:val="3432B864"/>
    <w:lvl w:ilvl="0" w:tplc="C4604FC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9C91D7D"/>
    <w:multiLevelType w:val="multilevel"/>
    <w:tmpl w:val="D390FD42"/>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ABC79ED"/>
    <w:multiLevelType w:val="hybridMultilevel"/>
    <w:tmpl w:val="99306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561651B"/>
    <w:multiLevelType w:val="hybridMultilevel"/>
    <w:tmpl w:val="0876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EF5CBC"/>
    <w:multiLevelType w:val="hybridMultilevel"/>
    <w:tmpl w:val="A3D6F71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186B7387"/>
    <w:multiLevelType w:val="hybridMultilevel"/>
    <w:tmpl w:val="926E0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9712F86"/>
    <w:multiLevelType w:val="hybridMultilevel"/>
    <w:tmpl w:val="6F28EB4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AE75895"/>
    <w:multiLevelType w:val="hybridMultilevel"/>
    <w:tmpl w:val="E274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7517AB"/>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476B0"/>
    <w:multiLevelType w:val="multilevel"/>
    <w:tmpl w:val="3F5AD16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45304E"/>
    <w:multiLevelType w:val="hybridMultilevel"/>
    <w:tmpl w:val="26F4A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4D3030"/>
    <w:multiLevelType w:val="hybridMultilevel"/>
    <w:tmpl w:val="98B87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C405F"/>
    <w:multiLevelType w:val="hybridMultilevel"/>
    <w:tmpl w:val="9210F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9E6CD1"/>
    <w:multiLevelType w:val="multilevel"/>
    <w:tmpl w:val="479EEE3E"/>
    <w:lvl w:ilvl="0">
      <w:start w:val="1"/>
      <w:numFmt w:val="upperRoman"/>
      <w:lvlText w:val="%1. "/>
      <w:lvlJc w:val="left"/>
      <w:pPr>
        <w:tabs>
          <w:tab w:val="num" w:pos="1440"/>
        </w:tabs>
        <w:ind w:left="1080" w:hanging="360"/>
      </w:pPr>
      <w:rPr>
        <w:rFonts w:ascii="Times New Roman" w:hAnsi="Times New Roman" w:hint="default"/>
        <w:b w:val="0"/>
        <w:i w:val="0"/>
        <w:sz w:val="24"/>
        <w:u w:val="none"/>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E760482"/>
    <w:multiLevelType w:val="hybridMultilevel"/>
    <w:tmpl w:val="1836589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nsid w:val="40F24F7E"/>
    <w:multiLevelType w:val="hybridMultilevel"/>
    <w:tmpl w:val="E33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60DE0"/>
    <w:multiLevelType w:val="hybridMultilevel"/>
    <w:tmpl w:val="689A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34AD0"/>
    <w:multiLevelType w:val="hybridMultilevel"/>
    <w:tmpl w:val="85C09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676998"/>
    <w:multiLevelType w:val="hybridMultilevel"/>
    <w:tmpl w:val="7B1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43737"/>
    <w:multiLevelType w:val="hybridMultilevel"/>
    <w:tmpl w:val="6BA6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62231"/>
    <w:multiLevelType w:val="hybridMultilevel"/>
    <w:tmpl w:val="D04C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B91653"/>
    <w:multiLevelType w:val="hybridMultilevel"/>
    <w:tmpl w:val="45729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4341E6"/>
    <w:multiLevelType w:val="multilevel"/>
    <w:tmpl w:val="89C6E0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DFF378C"/>
    <w:multiLevelType w:val="hybridMultilevel"/>
    <w:tmpl w:val="69426D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0E451B3"/>
    <w:multiLevelType w:val="hybridMultilevel"/>
    <w:tmpl w:val="753CF7F2"/>
    <w:lvl w:ilvl="0" w:tplc="BFB63F3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87031E"/>
    <w:multiLevelType w:val="hybridMultilevel"/>
    <w:tmpl w:val="6CFED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4675DA"/>
    <w:multiLevelType w:val="hybridMultilevel"/>
    <w:tmpl w:val="04E64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5C1A17"/>
    <w:multiLevelType w:val="hybridMultilevel"/>
    <w:tmpl w:val="46EC3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474CE5"/>
    <w:multiLevelType w:val="hybridMultilevel"/>
    <w:tmpl w:val="0C580A58"/>
    <w:lvl w:ilvl="0" w:tplc="E9A4C4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479285C"/>
    <w:multiLevelType w:val="hybridMultilevel"/>
    <w:tmpl w:val="20863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B50AA3"/>
    <w:multiLevelType w:val="hybridMultilevel"/>
    <w:tmpl w:val="7600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E52A6"/>
    <w:multiLevelType w:val="multilevel"/>
    <w:tmpl w:val="F482D1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66F4945"/>
    <w:multiLevelType w:val="hybridMultilevel"/>
    <w:tmpl w:val="28549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7370B4"/>
    <w:multiLevelType w:val="hybridMultilevel"/>
    <w:tmpl w:val="99F49068"/>
    <w:lvl w:ilvl="0" w:tplc="7BF03D88">
      <w:start w:val="1"/>
      <w:numFmt w:val="lowerLetter"/>
      <w:lvlText w:val="%1."/>
      <w:lvlJc w:val="left"/>
      <w:pPr>
        <w:ind w:left="1440" w:hanging="360"/>
      </w:pPr>
      <w:rPr>
        <w:rFonts w:ascii="Arial" w:eastAsiaTheme="min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681B84"/>
    <w:multiLevelType w:val="multilevel"/>
    <w:tmpl w:val="D7B4D388"/>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34"/>
  </w:num>
  <w:num w:numId="3">
    <w:abstractNumId w:val="6"/>
  </w:num>
  <w:num w:numId="4">
    <w:abstractNumId w:val="18"/>
  </w:num>
  <w:num w:numId="5">
    <w:abstractNumId w:val="27"/>
  </w:num>
  <w:num w:numId="6">
    <w:abstractNumId w:val="10"/>
  </w:num>
  <w:num w:numId="7">
    <w:abstractNumId w:val="11"/>
  </w:num>
  <w:num w:numId="8">
    <w:abstractNumId w:val="29"/>
  </w:num>
  <w:num w:numId="9">
    <w:abstractNumId w:val="15"/>
  </w:num>
  <w:num w:numId="10">
    <w:abstractNumId w:val="25"/>
  </w:num>
  <w:num w:numId="11">
    <w:abstractNumId w:val="14"/>
  </w:num>
  <w:num w:numId="12">
    <w:abstractNumId w:val="0"/>
  </w:num>
  <w:num w:numId="13">
    <w:abstractNumId w:val="16"/>
  </w:num>
  <w:num w:numId="14">
    <w:abstractNumId w:val="2"/>
  </w:num>
  <w:num w:numId="15">
    <w:abstractNumId w:val="19"/>
  </w:num>
  <w:num w:numId="16">
    <w:abstractNumId w:val="32"/>
  </w:num>
  <w:num w:numId="17">
    <w:abstractNumId w:val="8"/>
  </w:num>
  <w:num w:numId="18">
    <w:abstractNumId w:val="1"/>
  </w:num>
  <w:num w:numId="19">
    <w:abstractNumId w:val="33"/>
  </w:num>
  <w:num w:numId="20">
    <w:abstractNumId w:val="7"/>
  </w:num>
  <w:num w:numId="21">
    <w:abstractNumId w:val="31"/>
  </w:num>
  <w:num w:numId="22">
    <w:abstractNumId w:val="3"/>
  </w:num>
  <w:num w:numId="23">
    <w:abstractNumId w:val="36"/>
  </w:num>
  <w:num w:numId="24">
    <w:abstractNumId w:val="37"/>
  </w:num>
  <w:num w:numId="25">
    <w:abstractNumId w:val="24"/>
  </w:num>
  <w:num w:numId="26">
    <w:abstractNumId w:val="21"/>
  </w:num>
  <w:num w:numId="27">
    <w:abstractNumId w:val="30"/>
  </w:num>
  <w:num w:numId="28">
    <w:abstractNumId w:val="22"/>
  </w:num>
  <w:num w:numId="29">
    <w:abstractNumId w:val="4"/>
  </w:num>
  <w:num w:numId="30">
    <w:abstractNumId w:val="20"/>
  </w:num>
  <w:num w:numId="31">
    <w:abstractNumId w:val="17"/>
  </w:num>
  <w:num w:numId="32">
    <w:abstractNumId w:val="38"/>
  </w:num>
  <w:num w:numId="33">
    <w:abstractNumId w:val="23"/>
  </w:num>
  <w:num w:numId="34">
    <w:abstractNumId w:val="28"/>
  </w:num>
  <w:num w:numId="35">
    <w:abstractNumId w:val="5"/>
  </w:num>
  <w:num w:numId="36">
    <w:abstractNumId w:val="35"/>
  </w:num>
  <w:num w:numId="37">
    <w:abstractNumId w:val="13"/>
  </w:num>
  <w:num w:numId="38">
    <w:abstractNumId w:val="26"/>
  </w:num>
  <w:num w:numId="3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0285"/>
    <w:rsid w:val="0002149C"/>
    <w:rsid w:val="00023DA7"/>
    <w:rsid w:val="00032043"/>
    <w:rsid w:val="00036FC5"/>
    <w:rsid w:val="00044961"/>
    <w:rsid w:val="00045A4C"/>
    <w:rsid w:val="000521E5"/>
    <w:rsid w:val="00055199"/>
    <w:rsid w:val="00056156"/>
    <w:rsid w:val="0007175E"/>
    <w:rsid w:val="00085DF3"/>
    <w:rsid w:val="000860EC"/>
    <w:rsid w:val="000A4391"/>
    <w:rsid w:val="000B5D67"/>
    <w:rsid w:val="000C6F5D"/>
    <w:rsid w:val="000D44E8"/>
    <w:rsid w:val="000E0857"/>
    <w:rsid w:val="000E270B"/>
    <w:rsid w:val="000E2C26"/>
    <w:rsid w:val="000F2AD4"/>
    <w:rsid w:val="00115383"/>
    <w:rsid w:val="001414C7"/>
    <w:rsid w:val="001519F7"/>
    <w:rsid w:val="001520D8"/>
    <w:rsid w:val="001520DC"/>
    <w:rsid w:val="00167904"/>
    <w:rsid w:val="001720CE"/>
    <w:rsid w:val="001733FC"/>
    <w:rsid w:val="00177F5E"/>
    <w:rsid w:val="00180A0C"/>
    <w:rsid w:val="00187620"/>
    <w:rsid w:val="00190145"/>
    <w:rsid w:val="001932C3"/>
    <w:rsid w:val="001A559D"/>
    <w:rsid w:val="001B0AFE"/>
    <w:rsid w:val="001C0691"/>
    <w:rsid w:val="001C1C19"/>
    <w:rsid w:val="001C4FD7"/>
    <w:rsid w:val="001C5268"/>
    <w:rsid w:val="001C7B2B"/>
    <w:rsid w:val="001D5E87"/>
    <w:rsid w:val="001E325C"/>
    <w:rsid w:val="001E4934"/>
    <w:rsid w:val="001F007B"/>
    <w:rsid w:val="001F04A6"/>
    <w:rsid w:val="001F7006"/>
    <w:rsid w:val="00204BF3"/>
    <w:rsid w:val="0021392B"/>
    <w:rsid w:val="00223926"/>
    <w:rsid w:val="002253D8"/>
    <w:rsid w:val="00226965"/>
    <w:rsid w:val="00235C05"/>
    <w:rsid w:val="00237202"/>
    <w:rsid w:val="00240840"/>
    <w:rsid w:val="0024352A"/>
    <w:rsid w:val="00245042"/>
    <w:rsid w:val="00254C9F"/>
    <w:rsid w:val="002551DF"/>
    <w:rsid w:val="0025727A"/>
    <w:rsid w:val="00263ABF"/>
    <w:rsid w:val="00265CF7"/>
    <w:rsid w:val="00266AE4"/>
    <w:rsid w:val="00271673"/>
    <w:rsid w:val="00283AEF"/>
    <w:rsid w:val="00286E99"/>
    <w:rsid w:val="00287B94"/>
    <w:rsid w:val="00293B62"/>
    <w:rsid w:val="00296EC3"/>
    <w:rsid w:val="002A1E18"/>
    <w:rsid w:val="002A49E6"/>
    <w:rsid w:val="002A5861"/>
    <w:rsid w:val="002A6CC8"/>
    <w:rsid w:val="002C546B"/>
    <w:rsid w:val="002C6C9F"/>
    <w:rsid w:val="002C7F10"/>
    <w:rsid w:val="002D6816"/>
    <w:rsid w:val="002E012A"/>
    <w:rsid w:val="002E0E56"/>
    <w:rsid w:val="002F633D"/>
    <w:rsid w:val="0030363E"/>
    <w:rsid w:val="00305876"/>
    <w:rsid w:val="003123FD"/>
    <w:rsid w:val="00317F00"/>
    <w:rsid w:val="00325E5A"/>
    <w:rsid w:val="003268EF"/>
    <w:rsid w:val="0032712D"/>
    <w:rsid w:val="003315FB"/>
    <w:rsid w:val="00345B2E"/>
    <w:rsid w:val="00351C11"/>
    <w:rsid w:val="00353B53"/>
    <w:rsid w:val="00354EEA"/>
    <w:rsid w:val="00355088"/>
    <w:rsid w:val="00356D09"/>
    <w:rsid w:val="0036323F"/>
    <w:rsid w:val="00367B75"/>
    <w:rsid w:val="00367DCE"/>
    <w:rsid w:val="00376AA3"/>
    <w:rsid w:val="00377489"/>
    <w:rsid w:val="00381661"/>
    <w:rsid w:val="00387390"/>
    <w:rsid w:val="0038774F"/>
    <w:rsid w:val="00395AFA"/>
    <w:rsid w:val="00396D4B"/>
    <w:rsid w:val="003A21C9"/>
    <w:rsid w:val="003A3D79"/>
    <w:rsid w:val="003A4B2D"/>
    <w:rsid w:val="003B3F0B"/>
    <w:rsid w:val="003B4D0C"/>
    <w:rsid w:val="003C07E3"/>
    <w:rsid w:val="003C28B8"/>
    <w:rsid w:val="003C79C0"/>
    <w:rsid w:val="003D4712"/>
    <w:rsid w:val="003E072F"/>
    <w:rsid w:val="003F6A8D"/>
    <w:rsid w:val="003F7227"/>
    <w:rsid w:val="0040140B"/>
    <w:rsid w:val="0041122D"/>
    <w:rsid w:val="004125ED"/>
    <w:rsid w:val="0041391A"/>
    <w:rsid w:val="00425D2E"/>
    <w:rsid w:val="00433679"/>
    <w:rsid w:val="004355AD"/>
    <w:rsid w:val="00446FF6"/>
    <w:rsid w:val="00447AAD"/>
    <w:rsid w:val="00455122"/>
    <w:rsid w:val="00457BB3"/>
    <w:rsid w:val="0046238D"/>
    <w:rsid w:val="004832E6"/>
    <w:rsid w:val="00490626"/>
    <w:rsid w:val="00494EE5"/>
    <w:rsid w:val="004A165D"/>
    <w:rsid w:val="004A4C11"/>
    <w:rsid w:val="004A52B9"/>
    <w:rsid w:val="004B524E"/>
    <w:rsid w:val="004C0A4A"/>
    <w:rsid w:val="004C4029"/>
    <w:rsid w:val="004C55C3"/>
    <w:rsid w:val="004C60EE"/>
    <w:rsid w:val="004C668C"/>
    <w:rsid w:val="004C6FBE"/>
    <w:rsid w:val="004D572C"/>
    <w:rsid w:val="004D7770"/>
    <w:rsid w:val="004E17BF"/>
    <w:rsid w:val="004E4936"/>
    <w:rsid w:val="004E715B"/>
    <w:rsid w:val="004F3272"/>
    <w:rsid w:val="005004D9"/>
    <w:rsid w:val="00514483"/>
    <w:rsid w:val="00520967"/>
    <w:rsid w:val="00525889"/>
    <w:rsid w:val="00542B31"/>
    <w:rsid w:val="005502AE"/>
    <w:rsid w:val="0055577E"/>
    <w:rsid w:val="005557E2"/>
    <w:rsid w:val="00560777"/>
    <w:rsid w:val="00560F25"/>
    <w:rsid w:val="00565E68"/>
    <w:rsid w:val="00566C6D"/>
    <w:rsid w:val="00567CDE"/>
    <w:rsid w:val="00571633"/>
    <w:rsid w:val="00585345"/>
    <w:rsid w:val="005914F2"/>
    <w:rsid w:val="0059397E"/>
    <w:rsid w:val="005A0597"/>
    <w:rsid w:val="005A16A4"/>
    <w:rsid w:val="005A21CF"/>
    <w:rsid w:val="005A2471"/>
    <w:rsid w:val="005A280B"/>
    <w:rsid w:val="005B177C"/>
    <w:rsid w:val="005B4764"/>
    <w:rsid w:val="005B5BEA"/>
    <w:rsid w:val="005C1938"/>
    <w:rsid w:val="005C1B9E"/>
    <w:rsid w:val="005C3F3F"/>
    <w:rsid w:val="005C419D"/>
    <w:rsid w:val="005D1D42"/>
    <w:rsid w:val="005D360A"/>
    <w:rsid w:val="005E00A5"/>
    <w:rsid w:val="005E0786"/>
    <w:rsid w:val="005F5DA8"/>
    <w:rsid w:val="00600DC9"/>
    <w:rsid w:val="00600F91"/>
    <w:rsid w:val="00602597"/>
    <w:rsid w:val="00603174"/>
    <w:rsid w:val="0061650D"/>
    <w:rsid w:val="00616FA7"/>
    <w:rsid w:val="006229A6"/>
    <w:rsid w:val="00624CCF"/>
    <w:rsid w:val="00630861"/>
    <w:rsid w:val="00636EB2"/>
    <w:rsid w:val="0064288D"/>
    <w:rsid w:val="00645DE8"/>
    <w:rsid w:val="00647305"/>
    <w:rsid w:val="006514EB"/>
    <w:rsid w:val="00653CE0"/>
    <w:rsid w:val="006545F6"/>
    <w:rsid w:val="00661DDD"/>
    <w:rsid w:val="00663CD7"/>
    <w:rsid w:val="0066728A"/>
    <w:rsid w:val="00671808"/>
    <w:rsid w:val="00673DC4"/>
    <w:rsid w:val="0068196E"/>
    <w:rsid w:val="00692823"/>
    <w:rsid w:val="00695355"/>
    <w:rsid w:val="00697B12"/>
    <w:rsid w:val="006A5B44"/>
    <w:rsid w:val="006A5C20"/>
    <w:rsid w:val="006B7FFB"/>
    <w:rsid w:val="006C2AA1"/>
    <w:rsid w:val="006D78F8"/>
    <w:rsid w:val="006E06AB"/>
    <w:rsid w:val="006E1419"/>
    <w:rsid w:val="006E3693"/>
    <w:rsid w:val="006E3C4D"/>
    <w:rsid w:val="006E4517"/>
    <w:rsid w:val="006E569D"/>
    <w:rsid w:val="006E7423"/>
    <w:rsid w:val="0070568F"/>
    <w:rsid w:val="00706232"/>
    <w:rsid w:val="00706B71"/>
    <w:rsid w:val="00713232"/>
    <w:rsid w:val="00714CFA"/>
    <w:rsid w:val="00716100"/>
    <w:rsid w:val="00717C7E"/>
    <w:rsid w:val="00717DFA"/>
    <w:rsid w:val="00721849"/>
    <w:rsid w:val="00723BC6"/>
    <w:rsid w:val="0073473E"/>
    <w:rsid w:val="0073634D"/>
    <w:rsid w:val="00742E6F"/>
    <w:rsid w:val="00753101"/>
    <w:rsid w:val="00757254"/>
    <w:rsid w:val="007656B8"/>
    <w:rsid w:val="00771933"/>
    <w:rsid w:val="00775D22"/>
    <w:rsid w:val="0078220C"/>
    <w:rsid w:val="00786B03"/>
    <w:rsid w:val="00792FBA"/>
    <w:rsid w:val="00797B80"/>
    <w:rsid w:val="007A04AA"/>
    <w:rsid w:val="007A1B38"/>
    <w:rsid w:val="007A3FA1"/>
    <w:rsid w:val="007A5EC8"/>
    <w:rsid w:val="007B04FE"/>
    <w:rsid w:val="007B40E4"/>
    <w:rsid w:val="007C6AC9"/>
    <w:rsid w:val="007D7961"/>
    <w:rsid w:val="007E112B"/>
    <w:rsid w:val="007E25DD"/>
    <w:rsid w:val="007E5820"/>
    <w:rsid w:val="007E698F"/>
    <w:rsid w:val="007F30FB"/>
    <w:rsid w:val="008038D7"/>
    <w:rsid w:val="008043F8"/>
    <w:rsid w:val="008044BF"/>
    <w:rsid w:val="0081231C"/>
    <w:rsid w:val="008178A7"/>
    <w:rsid w:val="00830DCD"/>
    <w:rsid w:val="00836138"/>
    <w:rsid w:val="00847B4C"/>
    <w:rsid w:val="0085515C"/>
    <w:rsid w:val="008617E8"/>
    <w:rsid w:val="0086375A"/>
    <w:rsid w:val="008840FF"/>
    <w:rsid w:val="00897EDE"/>
    <w:rsid w:val="008A1B2D"/>
    <w:rsid w:val="008A4D6B"/>
    <w:rsid w:val="008B058A"/>
    <w:rsid w:val="008B10FA"/>
    <w:rsid w:val="008B34F0"/>
    <w:rsid w:val="008C02DC"/>
    <w:rsid w:val="008C727D"/>
    <w:rsid w:val="008C7460"/>
    <w:rsid w:val="008C7731"/>
    <w:rsid w:val="008D0717"/>
    <w:rsid w:val="008D3133"/>
    <w:rsid w:val="008E51E7"/>
    <w:rsid w:val="008E5E90"/>
    <w:rsid w:val="008F301F"/>
    <w:rsid w:val="00905384"/>
    <w:rsid w:val="00910BFF"/>
    <w:rsid w:val="00924DF5"/>
    <w:rsid w:val="00925F71"/>
    <w:rsid w:val="00940272"/>
    <w:rsid w:val="0094058E"/>
    <w:rsid w:val="00941A31"/>
    <w:rsid w:val="00942682"/>
    <w:rsid w:val="00953A88"/>
    <w:rsid w:val="00954598"/>
    <w:rsid w:val="00957B03"/>
    <w:rsid w:val="0096123B"/>
    <w:rsid w:val="00962EE3"/>
    <w:rsid w:val="00973E30"/>
    <w:rsid w:val="00974E8F"/>
    <w:rsid w:val="0098090E"/>
    <w:rsid w:val="00987B5F"/>
    <w:rsid w:val="00990C26"/>
    <w:rsid w:val="00991648"/>
    <w:rsid w:val="009956F1"/>
    <w:rsid w:val="009A1B12"/>
    <w:rsid w:val="009B0611"/>
    <w:rsid w:val="009B1535"/>
    <w:rsid w:val="009C58F5"/>
    <w:rsid w:val="009C63C1"/>
    <w:rsid w:val="009D107F"/>
    <w:rsid w:val="009E1045"/>
    <w:rsid w:val="009E142E"/>
    <w:rsid w:val="009F2988"/>
    <w:rsid w:val="009F4BDB"/>
    <w:rsid w:val="009F7F3A"/>
    <w:rsid w:val="00A0227A"/>
    <w:rsid w:val="00A03109"/>
    <w:rsid w:val="00A071E2"/>
    <w:rsid w:val="00A07851"/>
    <w:rsid w:val="00A123F8"/>
    <w:rsid w:val="00A23279"/>
    <w:rsid w:val="00A31D12"/>
    <w:rsid w:val="00A3237F"/>
    <w:rsid w:val="00A35D7D"/>
    <w:rsid w:val="00A40BCC"/>
    <w:rsid w:val="00A45072"/>
    <w:rsid w:val="00A500AA"/>
    <w:rsid w:val="00A562B7"/>
    <w:rsid w:val="00A57D5D"/>
    <w:rsid w:val="00A60795"/>
    <w:rsid w:val="00A71D05"/>
    <w:rsid w:val="00A740C4"/>
    <w:rsid w:val="00A76057"/>
    <w:rsid w:val="00A83B75"/>
    <w:rsid w:val="00A905C8"/>
    <w:rsid w:val="00A91F48"/>
    <w:rsid w:val="00A94443"/>
    <w:rsid w:val="00A94E17"/>
    <w:rsid w:val="00AA37FB"/>
    <w:rsid w:val="00AA51DE"/>
    <w:rsid w:val="00AB02C7"/>
    <w:rsid w:val="00AC519F"/>
    <w:rsid w:val="00AD4D9A"/>
    <w:rsid w:val="00AD6DBD"/>
    <w:rsid w:val="00AE7C49"/>
    <w:rsid w:val="00AF0A8F"/>
    <w:rsid w:val="00AF3DCF"/>
    <w:rsid w:val="00AF5099"/>
    <w:rsid w:val="00AF6FEB"/>
    <w:rsid w:val="00B04E45"/>
    <w:rsid w:val="00B04FC2"/>
    <w:rsid w:val="00B078F9"/>
    <w:rsid w:val="00B117E8"/>
    <w:rsid w:val="00B24582"/>
    <w:rsid w:val="00B30C24"/>
    <w:rsid w:val="00B30E32"/>
    <w:rsid w:val="00B40015"/>
    <w:rsid w:val="00B40703"/>
    <w:rsid w:val="00B42E7B"/>
    <w:rsid w:val="00B47644"/>
    <w:rsid w:val="00B47F15"/>
    <w:rsid w:val="00B50DC9"/>
    <w:rsid w:val="00B525BB"/>
    <w:rsid w:val="00B537D9"/>
    <w:rsid w:val="00B55B46"/>
    <w:rsid w:val="00B56F80"/>
    <w:rsid w:val="00B61110"/>
    <w:rsid w:val="00B6146A"/>
    <w:rsid w:val="00B65278"/>
    <w:rsid w:val="00BA1604"/>
    <w:rsid w:val="00BB0466"/>
    <w:rsid w:val="00BB0D4E"/>
    <w:rsid w:val="00BB1000"/>
    <w:rsid w:val="00BB257C"/>
    <w:rsid w:val="00BB26E1"/>
    <w:rsid w:val="00BB55C1"/>
    <w:rsid w:val="00BC022A"/>
    <w:rsid w:val="00BC128A"/>
    <w:rsid w:val="00BC7E92"/>
    <w:rsid w:val="00BD2D08"/>
    <w:rsid w:val="00BD3905"/>
    <w:rsid w:val="00BD4997"/>
    <w:rsid w:val="00BD7605"/>
    <w:rsid w:val="00BE1A41"/>
    <w:rsid w:val="00BE24DF"/>
    <w:rsid w:val="00BF0B8D"/>
    <w:rsid w:val="00BF12E5"/>
    <w:rsid w:val="00BF26B3"/>
    <w:rsid w:val="00BF3B8E"/>
    <w:rsid w:val="00BF3D21"/>
    <w:rsid w:val="00BF3F2A"/>
    <w:rsid w:val="00BF54E1"/>
    <w:rsid w:val="00BF7880"/>
    <w:rsid w:val="00C0122A"/>
    <w:rsid w:val="00C036CE"/>
    <w:rsid w:val="00C11B08"/>
    <w:rsid w:val="00C130E4"/>
    <w:rsid w:val="00C1523C"/>
    <w:rsid w:val="00C16F4A"/>
    <w:rsid w:val="00C27094"/>
    <w:rsid w:val="00C27DA1"/>
    <w:rsid w:val="00C318E5"/>
    <w:rsid w:val="00C35268"/>
    <w:rsid w:val="00C56477"/>
    <w:rsid w:val="00C56705"/>
    <w:rsid w:val="00C61255"/>
    <w:rsid w:val="00C62D32"/>
    <w:rsid w:val="00C809D0"/>
    <w:rsid w:val="00C82E3A"/>
    <w:rsid w:val="00C83BF7"/>
    <w:rsid w:val="00C92217"/>
    <w:rsid w:val="00C95D11"/>
    <w:rsid w:val="00CA1B05"/>
    <w:rsid w:val="00CA6453"/>
    <w:rsid w:val="00CB0AE5"/>
    <w:rsid w:val="00CB7BCA"/>
    <w:rsid w:val="00CC122D"/>
    <w:rsid w:val="00CC2F2E"/>
    <w:rsid w:val="00CD6BDE"/>
    <w:rsid w:val="00CE0EE7"/>
    <w:rsid w:val="00CE1043"/>
    <w:rsid w:val="00CE20FD"/>
    <w:rsid w:val="00CE22B5"/>
    <w:rsid w:val="00CE5178"/>
    <w:rsid w:val="00CF121F"/>
    <w:rsid w:val="00CF181D"/>
    <w:rsid w:val="00CF68B1"/>
    <w:rsid w:val="00D064CE"/>
    <w:rsid w:val="00D13060"/>
    <w:rsid w:val="00D14D39"/>
    <w:rsid w:val="00D229BE"/>
    <w:rsid w:val="00D26FF1"/>
    <w:rsid w:val="00D32685"/>
    <w:rsid w:val="00D342C1"/>
    <w:rsid w:val="00D350AB"/>
    <w:rsid w:val="00D37089"/>
    <w:rsid w:val="00D409ED"/>
    <w:rsid w:val="00D45AFF"/>
    <w:rsid w:val="00D4641A"/>
    <w:rsid w:val="00D46A1C"/>
    <w:rsid w:val="00D543BE"/>
    <w:rsid w:val="00D5460F"/>
    <w:rsid w:val="00D54A31"/>
    <w:rsid w:val="00D60451"/>
    <w:rsid w:val="00D6111D"/>
    <w:rsid w:val="00D718ED"/>
    <w:rsid w:val="00D778F2"/>
    <w:rsid w:val="00D90C61"/>
    <w:rsid w:val="00D91A8C"/>
    <w:rsid w:val="00D91CD9"/>
    <w:rsid w:val="00D91D63"/>
    <w:rsid w:val="00D93242"/>
    <w:rsid w:val="00D9517C"/>
    <w:rsid w:val="00DA2F90"/>
    <w:rsid w:val="00DB5B26"/>
    <w:rsid w:val="00DC225E"/>
    <w:rsid w:val="00DD267E"/>
    <w:rsid w:val="00DD6341"/>
    <w:rsid w:val="00DE3E57"/>
    <w:rsid w:val="00DF05CB"/>
    <w:rsid w:val="00DF590A"/>
    <w:rsid w:val="00DF5E44"/>
    <w:rsid w:val="00E00BBF"/>
    <w:rsid w:val="00E14AB9"/>
    <w:rsid w:val="00E25B7C"/>
    <w:rsid w:val="00E305F5"/>
    <w:rsid w:val="00E34DA4"/>
    <w:rsid w:val="00E35946"/>
    <w:rsid w:val="00E44494"/>
    <w:rsid w:val="00E50E8C"/>
    <w:rsid w:val="00E61154"/>
    <w:rsid w:val="00E816DF"/>
    <w:rsid w:val="00E82208"/>
    <w:rsid w:val="00E83C5E"/>
    <w:rsid w:val="00E86C3E"/>
    <w:rsid w:val="00E87C4A"/>
    <w:rsid w:val="00E87F95"/>
    <w:rsid w:val="00E90756"/>
    <w:rsid w:val="00E94FCF"/>
    <w:rsid w:val="00EA217E"/>
    <w:rsid w:val="00EC0B78"/>
    <w:rsid w:val="00EC5FC4"/>
    <w:rsid w:val="00ED2926"/>
    <w:rsid w:val="00ED40C5"/>
    <w:rsid w:val="00ED7E3A"/>
    <w:rsid w:val="00EE0B27"/>
    <w:rsid w:val="00EE5C63"/>
    <w:rsid w:val="00EF00DF"/>
    <w:rsid w:val="00EF5013"/>
    <w:rsid w:val="00EF7644"/>
    <w:rsid w:val="00F00E8B"/>
    <w:rsid w:val="00F05D5D"/>
    <w:rsid w:val="00F06434"/>
    <w:rsid w:val="00F10E7D"/>
    <w:rsid w:val="00F1386A"/>
    <w:rsid w:val="00F17123"/>
    <w:rsid w:val="00F179C5"/>
    <w:rsid w:val="00F20E71"/>
    <w:rsid w:val="00F22307"/>
    <w:rsid w:val="00F22BAA"/>
    <w:rsid w:val="00F243E8"/>
    <w:rsid w:val="00F27339"/>
    <w:rsid w:val="00F377BF"/>
    <w:rsid w:val="00F4102B"/>
    <w:rsid w:val="00F51485"/>
    <w:rsid w:val="00F5190C"/>
    <w:rsid w:val="00F51F75"/>
    <w:rsid w:val="00F55B0B"/>
    <w:rsid w:val="00F56084"/>
    <w:rsid w:val="00F63FE5"/>
    <w:rsid w:val="00F64156"/>
    <w:rsid w:val="00F649F1"/>
    <w:rsid w:val="00F71DC9"/>
    <w:rsid w:val="00F728F3"/>
    <w:rsid w:val="00F804B3"/>
    <w:rsid w:val="00F93A82"/>
    <w:rsid w:val="00F95D12"/>
    <w:rsid w:val="00FA05DC"/>
    <w:rsid w:val="00FA1248"/>
    <w:rsid w:val="00FA4044"/>
    <w:rsid w:val="00FA6586"/>
    <w:rsid w:val="00FB56DC"/>
    <w:rsid w:val="00FB6D76"/>
    <w:rsid w:val="00FC1F62"/>
    <w:rsid w:val="00FC6034"/>
    <w:rsid w:val="00FD2511"/>
    <w:rsid w:val="00FD39B9"/>
    <w:rsid w:val="00FE08CD"/>
    <w:rsid w:val="00FE72E0"/>
    <w:rsid w:val="00FE7B00"/>
    <w:rsid w:val="00FE7FE7"/>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18963"/>
  <w15:docId w15:val="{D3FBBCC8-350D-41E5-BF0A-4E822F7C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67DCE"/>
    <w:pPr>
      <w:tabs>
        <w:tab w:val="right" w:pos="8492"/>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67DCE"/>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C11B08"/>
    <w:rPr>
      <w:color w:val="800080" w:themeColor="followedHyperlink"/>
      <w:u w:val="single"/>
    </w:rPr>
  </w:style>
  <w:style w:type="character" w:styleId="CommentReference">
    <w:name w:val="annotation reference"/>
    <w:basedOn w:val="DefaultParagraphFont"/>
    <w:uiPriority w:val="99"/>
    <w:semiHidden/>
    <w:unhideWhenUsed/>
    <w:rsid w:val="006E06AB"/>
    <w:rPr>
      <w:sz w:val="16"/>
      <w:szCs w:val="16"/>
    </w:rPr>
  </w:style>
  <w:style w:type="paragraph" w:styleId="CommentText">
    <w:name w:val="annotation text"/>
    <w:basedOn w:val="Normal"/>
    <w:link w:val="CommentTextChar"/>
    <w:uiPriority w:val="99"/>
    <w:semiHidden/>
    <w:unhideWhenUsed/>
    <w:rsid w:val="006E06AB"/>
    <w:pPr>
      <w:spacing w:line="240" w:lineRule="auto"/>
    </w:pPr>
    <w:rPr>
      <w:sz w:val="20"/>
      <w:szCs w:val="20"/>
    </w:rPr>
  </w:style>
  <w:style w:type="character" w:customStyle="1" w:styleId="CommentTextChar">
    <w:name w:val="Comment Text Char"/>
    <w:basedOn w:val="DefaultParagraphFont"/>
    <w:link w:val="CommentText"/>
    <w:uiPriority w:val="99"/>
    <w:semiHidden/>
    <w:rsid w:val="006E06AB"/>
    <w:rPr>
      <w:sz w:val="20"/>
      <w:szCs w:val="20"/>
    </w:rPr>
  </w:style>
  <w:style w:type="paragraph" w:styleId="CommentSubject">
    <w:name w:val="annotation subject"/>
    <w:basedOn w:val="CommentText"/>
    <w:next w:val="CommentText"/>
    <w:link w:val="CommentSubjectChar"/>
    <w:uiPriority w:val="99"/>
    <w:semiHidden/>
    <w:unhideWhenUsed/>
    <w:rsid w:val="006E06AB"/>
    <w:rPr>
      <w:b/>
      <w:bCs/>
    </w:rPr>
  </w:style>
  <w:style w:type="character" w:customStyle="1" w:styleId="CommentSubjectChar">
    <w:name w:val="Comment Subject Char"/>
    <w:basedOn w:val="CommentTextChar"/>
    <w:link w:val="CommentSubject"/>
    <w:uiPriority w:val="99"/>
    <w:semiHidden/>
    <w:rsid w:val="006E0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Research_ethic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Research_ethics" TargetMode="External"/><Relationship Id="rId17" Type="http://schemas.openxmlformats.org/officeDocument/2006/relationships/hyperlink" Target="https://www.citiprogram.org" TargetMode="External"/><Relationship Id="rId2" Type="http://schemas.openxmlformats.org/officeDocument/2006/relationships/customXml" Target="../customXml/item2.xml"/><Relationship Id="rId16" Type="http://schemas.openxmlformats.org/officeDocument/2006/relationships/hyperlink" Target="http://en.wikipedia.org/wiki/World_War_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National_Commission_for_the_Protection_of_Human_Subjects_of_Biomedical_and_Behavioral_Research" TargetMode="External"/><Relationship Id="rId5" Type="http://schemas.openxmlformats.org/officeDocument/2006/relationships/numbering" Target="numbering.xml"/><Relationship Id="rId15" Type="http://schemas.openxmlformats.org/officeDocument/2006/relationships/hyperlink" Target="http://en.wikipedia.org/wiki/Subsequent_Nuremberg_Tri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Human_experi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FBA8-B9C1-45FB-80F8-371D6549305C}">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ABDEF43-C736-4325-9412-156139F3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3F1C13-6AE6-49E1-A298-5C2727468A22}">
  <ds:schemaRefs>
    <ds:schemaRef ds:uri="http://schemas.microsoft.com/sharepoint/v3/contenttype/forms"/>
  </ds:schemaRefs>
</ds:datastoreItem>
</file>

<file path=customXml/itemProps4.xml><?xml version="1.0" encoding="utf-8"?>
<ds:datastoreItem xmlns:ds="http://schemas.openxmlformats.org/officeDocument/2006/customXml" ds:itemID="{89FB12BB-CC11-4F30-817F-432B0367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Jahrsdorfer, Catherine</cp:lastModifiedBy>
  <cp:revision>3</cp:revision>
  <cp:lastPrinted>2014-01-29T19:02:00Z</cp:lastPrinted>
  <dcterms:created xsi:type="dcterms:W3CDTF">2015-08-04T01:52:00Z</dcterms:created>
  <dcterms:modified xsi:type="dcterms:W3CDTF">2016-03-29T16:22:00Z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